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F89" w:rsidRDefault="00074F89" w:rsidP="00074F89">
      <w:pPr>
        <w:spacing w:before="317"/>
        <w:ind w:left="3853"/>
        <w:rPr>
          <w:b/>
          <w:sz w:val="28"/>
        </w:rPr>
      </w:pPr>
      <w:r>
        <w:rPr>
          <w:b/>
          <w:sz w:val="28"/>
        </w:rPr>
        <w:t>ОСНОВНА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ЛІТЕРАТУРА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spacing w:before="321"/>
        <w:ind w:right="142" w:firstLine="707"/>
        <w:jc w:val="both"/>
        <w:rPr>
          <w:sz w:val="28"/>
        </w:rPr>
      </w:pPr>
      <w:r>
        <w:rPr>
          <w:sz w:val="28"/>
        </w:rPr>
        <w:t>Амбулаторно-поліклінична хірургія дитячого віку: навчально- методичний посібник.Видання друге, доповнене та перероблене / за заг. ред.</w:t>
      </w:r>
      <w:r>
        <w:rPr>
          <w:spacing w:val="40"/>
          <w:sz w:val="28"/>
        </w:rPr>
        <w:t xml:space="preserve"> </w:t>
      </w:r>
      <w:r>
        <w:rPr>
          <w:sz w:val="28"/>
        </w:rPr>
        <w:t>проф. В.А. Дігтяра, проф. В.І. Сушка. – Дніпро: Герда, 2018. – 248 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spacing w:before="1"/>
        <w:ind w:right="140" w:firstLine="707"/>
        <w:jc w:val="both"/>
        <w:rPr>
          <w:sz w:val="28"/>
        </w:rPr>
      </w:pPr>
      <w:r>
        <w:rPr>
          <w:sz w:val="28"/>
        </w:rPr>
        <w:t>Кривченя Д.Ю., Руденко Є.О. «Вади розвитку дихальної системи» . Атлас : навчальний</w:t>
      </w:r>
      <w:r>
        <w:rPr>
          <w:spacing w:val="40"/>
          <w:sz w:val="28"/>
        </w:rPr>
        <w:t xml:space="preserve"> </w:t>
      </w:r>
      <w:r>
        <w:rPr>
          <w:sz w:val="28"/>
        </w:rPr>
        <w:t>посібник.</w:t>
      </w:r>
      <w:r>
        <w:rPr>
          <w:spacing w:val="40"/>
          <w:sz w:val="28"/>
        </w:rPr>
        <w:t xml:space="preserve"> </w:t>
      </w:r>
      <w:r>
        <w:rPr>
          <w:sz w:val="28"/>
        </w:rPr>
        <w:t>«Медицина»,</w:t>
      </w:r>
      <w:r>
        <w:rPr>
          <w:spacing w:val="40"/>
          <w:sz w:val="28"/>
        </w:rPr>
        <w:t xml:space="preserve"> </w:t>
      </w:r>
      <w:r>
        <w:rPr>
          <w:sz w:val="28"/>
        </w:rPr>
        <w:t>2017.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3" w:firstLine="707"/>
        <w:jc w:val="both"/>
        <w:rPr>
          <w:sz w:val="28"/>
        </w:rPr>
      </w:pPr>
      <w:r>
        <w:rPr>
          <w:sz w:val="28"/>
        </w:rPr>
        <w:t>Дитяча хірургія: навч.-метод. пос.// за ред. В.А. Дігтяра. – Кропивницький: Імекс-ЛТД, 2021. – 338 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8" w:firstLine="707"/>
        <w:jc w:val="both"/>
        <w:rPr>
          <w:sz w:val="28"/>
        </w:rPr>
      </w:pPr>
      <w:r>
        <w:rPr>
          <w:sz w:val="28"/>
        </w:rPr>
        <w:t>Навчально-методичний посібник</w:t>
      </w:r>
      <w:r>
        <w:rPr>
          <w:spacing w:val="40"/>
          <w:sz w:val="28"/>
        </w:rPr>
        <w:t xml:space="preserve"> </w:t>
      </w:r>
      <w:r>
        <w:rPr>
          <w:sz w:val="28"/>
        </w:rPr>
        <w:t>«Основи діагностики, лікування та реабілітації вад розвитку опорно-рухового апарату в дітей» /за ред. А.Ф. Левицького., І.М.Бензар - Тернопіль:ТНМУ,2019.-220с.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8"/>
        </w:tabs>
        <w:spacing w:before="1"/>
        <w:ind w:right="132" w:firstLine="707"/>
        <w:jc w:val="both"/>
        <w:rPr>
          <w:sz w:val="28"/>
        </w:rPr>
      </w:pPr>
      <w:r>
        <w:rPr>
          <w:spacing w:val="-10"/>
          <w:sz w:val="28"/>
        </w:rPr>
        <w:t>Переяслов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А.А.</w:t>
      </w:r>
      <w:r>
        <w:rPr>
          <w:spacing w:val="-7"/>
          <w:sz w:val="28"/>
        </w:rPr>
        <w:t xml:space="preserve"> </w:t>
      </w:r>
      <w:r>
        <w:rPr>
          <w:spacing w:val="-10"/>
          <w:sz w:val="28"/>
        </w:rPr>
        <w:t>Мальротація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кишечника</w:t>
      </w:r>
      <w:r>
        <w:rPr>
          <w:spacing w:val="-7"/>
          <w:sz w:val="28"/>
        </w:rPr>
        <w:t xml:space="preserve"> </w:t>
      </w:r>
      <w:r>
        <w:rPr>
          <w:spacing w:val="-10"/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pacing w:val="-10"/>
          <w:sz w:val="28"/>
        </w:rPr>
        <w:t>дітей:</w:t>
      </w:r>
      <w:r>
        <w:rPr>
          <w:spacing w:val="-5"/>
          <w:sz w:val="28"/>
        </w:rPr>
        <w:t xml:space="preserve"> </w:t>
      </w:r>
      <w:r>
        <w:rPr>
          <w:spacing w:val="-10"/>
          <w:sz w:val="28"/>
        </w:rPr>
        <w:t>від</w:t>
      </w:r>
      <w:r>
        <w:rPr>
          <w:spacing w:val="-5"/>
          <w:sz w:val="28"/>
        </w:rPr>
        <w:t xml:space="preserve"> </w:t>
      </w:r>
      <w:r>
        <w:rPr>
          <w:spacing w:val="-10"/>
          <w:sz w:val="28"/>
        </w:rPr>
        <w:t>ембріогенезу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pacing w:val="-10"/>
          <w:sz w:val="28"/>
        </w:rPr>
        <w:t xml:space="preserve">наслідків/ </w:t>
      </w:r>
      <w:r>
        <w:rPr>
          <w:spacing w:val="-6"/>
          <w:sz w:val="28"/>
        </w:rPr>
        <w:t>Переяслов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А.А.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Рибальченко</w:t>
      </w:r>
      <w:r>
        <w:rPr>
          <w:spacing w:val="-19"/>
          <w:sz w:val="28"/>
        </w:rPr>
        <w:t xml:space="preserve"> </w:t>
      </w:r>
      <w:r>
        <w:rPr>
          <w:spacing w:val="-6"/>
          <w:sz w:val="28"/>
        </w:rPr>
        <w:t>В.Ф.,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Лосєв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О.О.</w:t>
      </w:r>
      <w:r>
        <w:rPr>
          <w:spacing w:val="-20"/>
          <w:sz w:val="28"/>
        </w:rPr>
        <w:t xml:space="preserve"> </w:t>
      </w:r>
      <w:r>
        <w:rPr>
          <w:spacing w:val="-6"/>
          <w:sz w:val="28"/>
        </w:rPr>
        <w:t>–</w:t>
      </w:r>
      <w:r>
        <w:rPr>
          <w:spacing w:val="-19"/>
          <w:sz w:val="28"/>
        </w:rPr>
        <w:t xml:space="preserve"> </w:t>
      </w:r>
      <w:r>
        <w:rPr>
          <w:spacing w:val="-6"/>
          <w:sz w:val="28"/>
        </w:rPr>
        <w:t>К.:</w:t>
      </w:r>
      <w:r>
        <w:rPr>
          <w:spacing w:val="-19"/>
          <w:sz w:val="28"/>
        </w:rPr>
        <w:t xml:space="preserve"> </w:t>
      </w:r>
      <w:r>
        <w:rPr>
          <w:spacing w:val="-6"/>
          <w:sz w:val="28"/>
        </w:rPr>
        <w:t>ПП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«ІНПОЛ</w:t>
      </w:r>
      <w:r>
        <w:rPr>
          <w:spacing w:val="-23"/>
          <w:sz w:val="28"/>
        </w:rPr>
        <w:t xml:space="preserve"> </w:t>
      </w:r>
      <w:r>
        <w:rPr>
          <w:spacing w:val="-6"/>
          <w:sz w:val="28"/>
        </w:rPr>
        <w:t>ЛТМ»,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2019.</w:t>
      </w:r>
      <w:r>
        <w:rPr>
          <w:spacing w:val="-24"/>
          <w:sz w:val="28"/>
        </w:rPr>
        <w:t xml:space="preserve"> </w:t>
      </w:r>
      <w:r>
        <w:rPr>
          <w:spacing w:val="-6"/>
          <w:sz w:val="28"/>
        </w:rPr>
        <w:t>-226с.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3" w:firstLine="707"/>
        <w:jc w:val="both"/>
        <w:rPr>
          <w:sz w:val="28"/>
        </w:rPr>
      </w:pPr>
      <w:r>
        <w:rPr>
          <w:sz w:val="28"/>
        </w:rPr>
        <w:t>Погорілий В.В. Дитяча хірургія. Част.1/ під заг. ред. В.В. Погорілого, О.Г. Якименко, В.С. Конопліцького, В.А. Навроцького. – ПП “ТД Едельвейс і К”. – Вінниця. – 2016. – 352с.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3" w:firstLine="707"/>
        <w:jc w:val="both"/>
        <w:rPr>
          <w:sz w:val="28"/>
        </w:rPr>
      </w:pPr>
      <w:r>
        <w:rPr>
          <w:sz w:val="28"/>
        </w:rPr>
        <w:t>Погорілий В.В. Дитяча хірургія: метод. реком., част.2 / В.В. Погорілий, Н.Г. Пшук, О.Г. Якименко, В.А. Навроцький. – ПП “ТД Едельвейс і К”. –</w:t>
      </w:r>
      <w:r>
        <w:rPr>
          <w:spacing w:val="40"/>
          <w:sz w:val="28"/>
        </w:rPr>
        <w:t xml:space="preserve"> </w:t>
      </w:r>
      <w:r>
        <w:rPr>
          <w:sz w:val="28"/>
        </w:rPr>
        <w:t>Вінниця. -2016. -351с.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5" w:firstLine="707"/>
        <w:jc w:val="both"/>
        <w:rPr>
          <w:sz w:val="28"/>
        </w:rPr>
      </w:pPr>
      <w:r>
        <w:rPr>
          <w:sz w:val="28"/>
        </w:rPr>
        <w:t>Полiтравма у дітей : навч.-метод.посіб. /І.М.Бензар, В.Є.Бліхар, Б.М.Боднар, за ред. А.Ф.Левицького. – Укрмедкнига. – Тернопіль. – 2014. -200 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9" w:firstLine="707"/>
        <w:jc w:val="both"/>
        <w:rPr>
          <w:sz w:val="28"/>
        </w:rPr>
      </w:pPr>
      <w:r>
        <w:rPr>
          <w:sz w:val="28"/>
        </w:rPr>
        <w:t>Русак П.С. Вади розвитку черевної стінки у дітей / П.С. Русак, В.С. Конопліцький, О.Д. Фофанов. – Житомир: «Полісся», 2020. – 148 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8"/>
        </w:tabs>
        <w:spacing w:line="242" w:lineRule="auto"/>
        <w:ind w:right="136" w:firstLine="707"/>
        <w:jc w:val="both"/>
        <w:rPr>
          <w:sz w:val="28"/>
        </w:rPr>
      </w:pPr>
      <w:r>
        <w:rPr>
          <w:sz w:val="28"/>
        </w:rPr>
        <w:t>Сілкіна</w:t>
      </w:r>
      <w:r>
        <w:rPr>
          <w:spacing w:val="-3"/>
          <w:sz w:val="28"/>
        </w:rPr>
        <w:t xml:space="preserve"> </w:t>
      </w:r>
      <w:r>
        <w:rPr>
          <w:sz w:val="28"/>
        </w:rPr>
        <w:t>Ю.В.</w:t>
      </w:r>
      <w:r>
        <w:rPr>
          <w:spacing w:val="-2"/>
          <w:sz w:val="28"/>
        </w:rPr>
        <w:t xml:space="preserve"> </w:t>
      </w:r>
      <w:r>
        <w:rPr>
          <w:sz w:val="28"/>
        </w:rPr>
        <w:t>Медична</w:t>
      </w:r>
      <w:r>
        <w:rPr>
          <w:spacing w:val="-1"/>
          <w:sz w:val="28"/>
        </w:rPr>
        <w:t xml:space="preserve"> </w:t>
      </w:r>
      <w:r>
        <w:rPr>
          <w:sz w:val="28"/>
        </w:rPr>
        <w:t>ембріологія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основами</w:t>
      </w:r>
      <w:r>
        <w:rPr>
          <w:spacing w:val="-1"/>
          <w:sz w:val="28"/>
        </w:rPr>
        <w:t xml:space="preserve"> </w:t>
      </w:r>
      <w:r>
        <w:rPr>
          <w:sz w:val="28"/>
        </w:rPr>
        <w:t>тератології/</w:t>
      </w:r>
      <w:r>
        <w:rPr>
          <w:spacing w:val="-2"/>
          <w:sz w:val="28"/>
        </w:rPr>
        <w:t xml:space="preserve"> </w:t>
      </w:r>
      <w:r>
        <w:rPr>
          <w:sz w:val="28"/>
        </w:rPr>
        <w:t>Сілкіна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Ю.В., </w:t>
      </w:r>
      <w:r>
        <w:rPr>
          <w:spacing w:val="-6"/>
          <w:sz w:val="28"/>
        </w:rPr>
        <w:t>Веропотвелян</w:t>
      </w:r>
      <w:r>
        <w:rPr>
          <w:spacing w:val="-18"/>
          <w:sz w:val="28"/>
        </w:rPr>
        <w:t xml:space="preserve"> </w:t>
      </w:r>
      <w:r>
        <w:rPr>
          <w:spacing w:val="-6"/>
          <w:sz w:val="28"/>
        </w:rPr>
        <w:t>М.П.,</w:t>
      </w:r>
      <w:r>
        <w:rPr>
          <w:spacing w:val="-22"/>
          <w:sz w:val="28"/>
        </w:rPr>
        <w:t xml:space="preserve"> </w:t>
      </w:r>
      <w:r>
        <w:rPr>
          <w:spacing w:val="-6"/>
          <w:sz w:val="28"/>
        </w:rPr>
        <w:t>Данкович</w:t>
      </w:r>
      <w:r>
        <w:rPr>
          <w:spacing w:val="-19"/>
          <w:sz w:val="28"/>
        </w:rPr>
        <w:t xml:space="preserve"> </w:t>
      </w:r>
      <w:r>
        <w:rPr>
          <w:spacing w:val="-6"/>
          <w:sz w:val="28"/>
        </w:rPr>
        <w:t>Н.О.-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Вінниця:</w:t>
      </w:r>
      <w:r>
        <w:rPr>
          <w:spacing w:val="-18"/>
          <w:sz w:val="28"/>
        </w:rPr>
        <w:t xml:space="preserve"> </w:t>
      </w:r>
      <w:r>
        <w:rPr>
          <w:spacing w:val="-6"/>
          <w:sz w:val="28"/>
        </w:rPr>
        <w:t>Нова</w:t>
      </w:r>
      <w:r>
        <w:rPr>
          <w:spacing w:val="-21"/>
          <w:sz w:val="28"/>
        </w:rPr>
        <w:t xml:space="preserve"> </w:t>
      </w:r>
      <w:r>
        <w:rPr>
          <w:spacing w:val="-6"/>
          <w:sz w:val="28"/>
        </w:rPr>
        <w:t>Книга,</w:t>
      </w:r>
      <w:r>
        <w:rPr>
          <w:spacing w:val="-20"/>
          <w:sz w:val="28"/>
        </w:rPr>
        <w:t xml:space="preserve"> </w:t>
      </w:r>
      <w:r>
        <w:rPr>
          <w:spacing w:val="-6"/>
          <w:sz w:val="28"/>
        </w:rPr>
        <w:t>2019.</w:t>
      </w:r>
      <w:r>
        <w:rPr>
          <w:spacing w:val="-22"/>
          <w:sz w:val="28"/>
        </w:rPr>
        <w:t xml:space="preserve"> </w:t>
      </w:r>
      <w:r>
        <w:rPr>
          <w:spacing w:val="-6"/>
          <w:sz w:val="28"/>
        </w:rPr>
        <w:t>–</w:t>
      </w:r>
      <w:r>
        <w:rPr>
          <w:spacing w:val="-20"/>
          <w:sz w:val="28"/>
        </w:rPr>
        <w:t xml:space="preserve"> </w:t>
      </w:r>
      <w:r>
        <w:rPr>
          <w:spacing w:val="-6"/>
          <w:sz w:val="28"/>
        </w:rPr>
        <w:t>208с.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5" w:firstLine="707"/>
        <w:jc w:val="both"/>
        <w:rPr>
          <w:sz w:val="28"/>
        </w:rPr>
      </w:pPr>
      <w:r>
        <w:rPr>
          <w:sz w:val="28"/>
        </w:rPr>
        <w:t>Caring for Surgical Patients (Study Guide for Students of Higher Educational Medical Institutions) // Edited by Professor V.A. Dihtyar – Warsaw: RS Global Sp. z O.O., 2020. – 96 p.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8" w:firstLine="707"/>
        <w:jc w:val="both"/>
        <w:rPr>
          <w:sz w:val="28"/>
        </w:rPr>
      </w:pPr>
      <w:r>
        <w:rPr>
          <w:sz w:val="28"/>
        </w:rPr>
        <w:t>Holschneider A.M. Hirschprung’s disease and allied disorders / A.M. Holschneider, P. Puri. - Springer, Berlin. 2008. – 414 p.</w:t>
      </w:r>
    </w:p>
    <w:p w:rsidR="00074F89" w:rsidRDefault="00074F89" w:rsidP="00074F89">
      <w:pPr>
        <w:jc w:val="both"/>
        <w:rPr>
          <w:sz w:val="28"/>
        </w:rPr>
        <w:sectPr w:rsidR="00074F89">
          <w:pgSz w:w="11910" w:h="16840"/>
          <w:pgMar w:top="760" w:right="420" w:bottom="940" w:left="1200" w:header="0" w:footer="751" w:gutter="0"/>
          <w:cols w:space="720"/>
        </w:sectPr>
      </w:pP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spacing w:before="73"/>
        <w:ind w:right="152" w:firstLine="707"/>
        <w:rPr>
          <w:sz w:val="28"/>
        </w:rPr>
      </w:pPr>
      <w:r>
        <w:rPr>
          <w:sz w:val="28"/>
        </w:rPr>
        <w:lastRenderedPageBreak/>
        <w:t>HutsonJ.M., Spencer W. Beasley The Surgical Examination of Children, 2nd edition // Springer, Berlin, Heidelberg. 2013, 310 р.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8" w:firstLine="707"/>
        <w:rPr>
          <w:sz w:val="28"/>
        </w:rPr>
      </w:pPr>
      <w:r>
        <w:rPr>
          <w:sz w:val="28"/>
        </w:rPr>
        <w:t>Jeffre J.F., Lanzkowsky L.Ph. Lanzkowsky’s manual of pediatric hematology and oncology, 6th ed.,Elsevier. 2016, 788 р.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51" w:firstLine="707"/>
        <w:rPr>
          <w:sz w:val="28"/>
        </w:rPr>
      </w:pPr>
      <w:r>
        <w:rPr>
          <w:sz w:val="28"/>
        </w:rPr>
        <w:t>JeffreyR.W.,</w:t>
      </w:r>
      <w:r>
        <w:rPr>
          <w:spacing w:val="40"/>
          <w:sz w:val="28"/>
        </w:rPr>
        <w:t xml:space="preserve"> </w:t>
      </w:r>
      <w:r>
        <w:rPr>
          <w:sz w:val="28"/>
        </w:rPr>
        <w:t>Kay</w:t>
      </w:r>
      <w:r>
        <w:rPr>
          <w:spacing w:val="40"/>
          <w:sz w:val="28"/>
        </w:rPr>
        <w:t xml:space="preserve"> </w:t>
      </w:r>
      <w:r>
        <w:rPr>
          <w:sz w:val="28"/>
        </w:rPr>
        <w:t>H.</w:t>
      </w:r>
      <w:r>
        <w:rPr>
          <w:spacing w:val="40"/>
          <w:sz w:val="28"/>
        </w:rPr>
        <w:t xml:space="preserve"> </w:t>
      </w:r>
      <w:r>
        <w:rPr>
          <w:sz w:val="28"/>
        </w:rPr>
        <w:t>M.</w:t>
      </w:r>
      <w:r>
        <w:rPr>
          <w:spacing w:val="40"/>
          <w:sz w:val="28"/>
        </w:rPr>
        <w:t xml:space="preserve"> </w:t>
      </w:r>
      <w:r>
        <w:rPr>
          <w:sz w:val="28"/>
        </w:rPr>
        <w:t>Pediatric</w:t>
      </w:r>
      <w:r>
        <w:rPr>
          <w:spacing w:val="40"/>
          <w:sz w:val="28"/>
        </w:rPr>
        <w:t xml:space="preserve"> </w:t>
      </w:r>
      <w:r>
        <w:rPr>
          <w:sz w:val="28"/>
        </w:rPr>
        <w:t>Gastrointestinal</w:t>
      </w:r>
      <w:r>
        <w:rPr>
          <w:spacing w:val="40"/>
          <w:sz w:val="28"/>
        </w:rPr>
        <w:t xml:space="preserve"> </w:t>
      </w:r>
      <w:r>
        <w:rPr>
          <w:sz w:val="28"/>
        </w:rPr>
        <w:t>and</w:t>
      </w:r>
      <w:r>
        <w:rPr>
          <w:spacing w:val="40"/>
          <w:sz w:val="28"/>
        </w:rPr>
        <w:t xml:space="preserve"> </w:t>
      </w:r>
      <w:r>
        <w:rPr>
          <w:sz w:val="28"/>
        </w:rPr>
        <w:t>Liver</w:t>
      </w:r>
      <w:r>
        <w:rPr>
          <w:spacing w:val="40"/>
          <w:sz w:val="28"/>
        </w:rPr>
        <w:t xml:space="preserve"> </w:t>
      </w:r>
      <w:r>
        <w:rPr>
          <w:sz w:val="28"/>
        </w:rPr>
        <w:t>Disease,</w:t>
      </w:r>
      <w:r>
        <w:rPr>
          <w:spacing w:val="40"/>
          <w:sz w:val="28"/>
        </w:rPr>
        <w:t xml:space="preserve"> </w:t>
      </w:r>
      <w:r>
        <w:rPr>
          <w:sz w:val="28"/>
        </w:rPr>
        <w:t>5th edition // Elsevier. 2015, 1216 р.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50"/>
        </w:tabs>
        <w:spacing w:before="1" w:line="322" w:lineRule="exact"/>
        <w:ind w:left="1350" w:hanging="424"/>
        <w:rPr>
          <w:sz w:val="28"/>
        </w:rPr>
      </w:pPr>
      <w:r>
        <w:rPr>
          <w:sz w:val="28"/>
        </w:rPr>
        <w:t>Lima</w:t>
      </w:r>
      <w:r>
        <w:rPr>
          <w:spacing w:val="-5"/>
          <w:sz w:val="28"/>
        </w:rPr>
        <w:t xml:space="preserve"> </w:t>
      </w:r>
      <w:r>
        <w:rPr>
          <w:sz w:val="28"/>
        </w:rPr>
        <w:t>M.</w:t>
      </w:r>
      <w:r>
        <w:rPr>
          <w:spacing w:val="-6"/>
          <w:sz w:val="28"/>
        </w:rPr>
        <w:t xml:space="preserve"> </w:t>
      </w:r>
      <w:r>
        <w:rPr>
          <w:sz w:val="28"/>
        </w:rPr>
        <w:t>Pediatric</w:t>
      </w:r>
      <w:r>
        <w:rPr>
          <w:spacing w:val="-5"/>
          <w:sz w:val="28"/>
        </w:rPr>
        <w:t xml:space="preserve"> </w:t>
      </w:r>
      <w:r>
        <w:rPr>
          <w:sz w:val="28"/>
        </w:rPr>
        <w:t>Digestive</w:t>
      </w:r>
      <w:r>
        <w:rPr>
          <w:spacing w:val="-4"/>
          <w:sz w:val="28"/>
        </w:rPr>
        <w:t xml:space="preserve"> </w:t>
      </w:r>
      <w:r>
        <w:rPr>
          <w:sz w:val="28"/>
        </w:rPr>
        <w:t>Surgery.</w:t>
      </w:r>
      <w:r>
        <w:rPr>
          <w:spacing w:val="-6"/>
          <w:sz w:val="28"/>
        </w:rPr>
        <w:t xml:space="preserve"> </w:t>
      </w:r>
      <w:r>
        <w:rPr>
          <w:sz w:val="28"/>
        </w:rPr>
        <w:t>Springer,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2017 </w:t>
      </w:r>
      <w:r>
        <w:rPr>
          <w:spacing w:val="-2"/>
          <w:sz w:val="28"/>
        </w:rPr>
        <w:t>–444р.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50"/>
          <w:tab w:val="left" w:pos="4692"/>
        </w:tabs>
        <w:ind w:left="1350" w:hanging="424"/>
        <w:rPr>
          <w:sz w:val="28"/>
        </w:rPr>
      </w:pPr>
      <w:r>
        <w:rPr>
          <w:sz w:val="28"/>
        </w:rPr>
        <w:t>Mattei</w:t>
      </w:r>
      <w:r>
        <w:rPr>
          <w:spacing w:val="40"/>
          <w:sz w:val="28"/>
        </w:rPr>
        <w:t xml:space="preserve"> </w:t>
      </w:r>
      <w:r>
        <w:rPr>
          <w:sz w:val="28"/>
        </w:rPr>
        <w:t>P.</w:t>
      </w:r>
      <w:r>
        <w:rPr>
          <w:spacing w:val="40"/>
          <w:sz w:val="28"/>
        </w:rPr>
        <w:t xml:space="preserve"> </w:t>
      </w:r>
      <w:r>
        <w:rPr>
          <w:sz w:val="28"/>
        </w:rPr>
        <w:t>Fundamentals</w:t>
      </w:r>
      <w:r>
        <w:rPr>
          <w:spacing w:val="39"/>
          <w:sz w:val="28"/>
        </w:rPr>
        <w:t xml:space="preserve"> </w:t>
      </w:r>
      <w:r>
        <w:rPr>
          <w:spacing w:val="-5"/>
          <w:sz w:val="28"/>
        </w:rPr>
        <w:t>of</w:t>
      </w:r>
      <w:r>
        <w:rPr>
          <w:sz w:val="28"/>
        </w:rPr>
        <w:tab/>
        <w:t>Pediatric</w:t>
      </w:r>
      <w:r>
        <w:rPr>
          <w:spacing w:val="40"/>
          <w:sz w:val="28"/>
        </w:rPr>
        <w:t xml:space="preserve"> </w:t>
      </w:r>
      <w:r>
        <w:rPr>
          <w:sz w:val="28"/>
        </w:rPr>
        <w:t>surgery</w:t>
      </w:r>
      <w:r>
        <w:rPr>
          <w:spacing w:val="38"/>
          <w:sz w:val="28"/>
        </w:rPr>
        <w:t xml:space="preserve"> </w:t>
      </w:r>
      <w:r>
        <w:rPr>
          <w:sz w:val="28"/>
        </w:rPr>
        <w:t>/</w:t>
      </w:r>
      <w:r>
        <w:rPr>
          <w:spacing w:val="43"/>
          <w:sz w:val="28"/>
        </w:rPr>
        <w:t xml:space="preserve"> </w:t>
      </w:r>
      <w:r>
        <w:rPr>
          <w:sz w:val="28"/>
        </w:rPr>
        <w:t>Springer,</w:t>
      </w:r>
      <w:r>
        <w:rPr>
          <w:spacing w:val="41"/>
          <w:sz w:val="28"/>
        </w:rPr>
        <w:t xml:space="preserve"> </w:t>
      </w:r>
      <w:r>
        <w:rPr>
          <w:sz w:val="28"/>
        </w:rPr>
        <w:t>New</w:t>
      </w:r>
      <w:r>
        <w:rPr>
          <w:spacing w:val="40"/>
          <w:sz w:val="28"/>
        </w:rPr>
        <w:t xml:space="preserve"> </w:t>
      </w:r>
      <w:r>
        <w:rPr>
          <w:sz w:val="28"/>
        </w:rPr>
        <w:t>York.</w:t>
      </w:r>
      <w:r>
        <w:rPr>
          <w:spacing w:val="42"/>
          <w:sz w:val="28"/>
        </w:rPr>
        <w:t xml:space="preserve"> </w:t>
      </w:r>
      <w:r>
        <w:rPr>
          <w:spacing w:val="-2"/>
          <w:sz w:val="28"/>
        </w:rPr>
        <w:t>2017,</w:t>
      </w:r>
    </w:p>
    <w:p w:rsidR="00074F89" w:rsidRDefault="00074F89" w:rsidP="00074F89">
      <w:pPr>
        <w:pStyle w:val="a3"/>
        <w:spacing w:line="322" w:lineRule="exact"/>
        <w:ind w:firstLine="0"/>
      </w:pPr>
      <w:r>
        <w:t>935</w:t>
      </w:r>
      <w:r>
        <w:rPr>
          <w:spacing w:val="-1"/>
        </w:rPr>
        <w:t xml:space="preserve"> </w:t>
      </w:r>
      <w:r>
        <w:rPr>
          <w:spacing w:val="-5"/>
        </w:rPr>
        <w:t>р.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50"/>
        </w:tabs>
        <w:ind w:left="1350" w:hanging="424"/>
        <w:rPr>
          <w:sz w:val="28"/>
        </w:rPr>
      </w:pPr>
      <w:r>
        <w:rPr>
          <w:sz w:val="28"/>
        </w:rPr>
        <w:t>Pediatric</w:t>
      </w:r>
      <w:r>
        <w:rPr>
          <w:spacing w:val="7"/>
          <w:sz w:val="28"/>
        </w:rPr>
        <w:t xml:space="preserve"> </w:t>
      </w:r>
      <w:r>
        <w:rPr>
          <w:sz w:val="28"/>
        </w:rPr>
        <w:t>surgery</w:t>
      </w:r>
      <w:r>
        <w:rPr>
          <w:spacing w:val="9"/>
          <w:sz w:val="28"/>
        </w:rPr>
        <w:t xml:space="preserve"> </w:t>
      </w:r>
      <w:r>
        <w:rPr>
          <w:sz w:val="28"/>
        </w:rPr>
        <w:t>–</w:t>
      </w:r>
      <w:r>
        <w:rPr>
          <w:spacing w:val="11"/>
          <w:sz w:val="28"/>
        </w:rPr>
        <w:t xml:space="preserve"> </w:t>
      </w:r>
      <w:r>
        <w:rPr>
          <w:sz w:val="28"/>
        </w:rPr>
        <w:t>7th</w:t>
      </w:r>
      <w:r>
        <w:rPr>
          <w:spacing w:val="11"/>
          <w:sz w:val="28"/>
        </w:rPr>
        <w:t xml:space="preserve"> </w:t>
      </w:r>
      <w:r>
        <w:rPr>
          <w:sz w:val="28"/>
        </w:rPr>
        <w:t>edition</w:t>
      </w:r>
      <w:r>
        <w:rPr>
          <w:spacing w:val="10"/>
          <w:sz w:val="28"/>
        </w:rPr>
        <w:t xml:space="preserve"> </w:t>
      </w:r>
      <w:r>
        <w:rPr>
          <w:sz w:val="28"/>
        </w:rPr>
        <w:t>/</w:t>
      </w:r>
      <w:r>
        <w:rPr>
          <w:spacing w:val="9"/>
          <w:sz w:val="28"/>
        </w:rPr>
        <w:t xml:space="preserve"> </w:t>
      </w:r>
      <w:r>
        <w:rPr>
          <w:sz w:val="28"/>
        </w:rPr>
        <w:t>editor</w:t>
      </w:r>
      <w:r>
        <w:rPr>
          <w:spacing w:val="7"/>
          <w:sz w:val="28"/>
        </w:rPr>
        <w:t xml:space="preserve"> </w:t>
      </w:r>
      <w:r>
        <w:rPr>
          <w:sz w:val="28"/>
        </w:rPr>
        <w:t>in</w:t>
      </w:r>
      <w:r>
        <w:rPr>
          <w:spacing w:val="11"/>
          <w:sz w:val="28"/>
        </w:rPr>
        <w:t xml:space="preserve"> </w:t>
      </w:r>
      <w:r>
        <w:rPr>
          <w:sz w:val="28"/>
        </w:rPr>
        <w:t>chief</w:t>
      </w:r>
      <w:r>
        <w:rPr>
          <w:spacing w:val="9"/>
          <w:sz w:val="28"/>
        </w:rPr>
        <w:t xml:space="preserve"> </w:t>
      </w:r>
      <w:r>
        <w:rPr>
          <w:sz w:val="28"/>
        </w:rPr>
        <w:t>A.G</w:t>
      </w:r>
      <w:r>
        <w:rPr>
          <w:spacing w:val="9"/>
          <w:sz w:val="28"/>
        </w:rPr>
        <w:t xml:space="preserve"> </w:t>
      </w:r>
      <w:r>
        <w:rPr>
          <w:sz w:val="28"/>
        </w:rPr>
        <w:t>Coran</w:t>
      </w:r>
      <w:r>
        <w:rPr>
          <w:spacing w:val="8"/>
          <w:sz w:val="28"/>
        </w:rPr>
        <w:t xml:space="preserve"> </w:t>
      </w:r>
      <w:r>
        <w:rPr>
          <w:sz w:val="28"/>
        </w:rPr>
        <w:t>;</w:t>
      </w:r>
      <w:r>
        <w:rPr>
          <w:spacing w:val="11"/>
          <w:sz w:val="28"/>
        </w:rPr>
        <w:t xml:space="preserve"> </w:t>
      </w:r>
      <w:r>
        <w:rPr>
          <w:sz w:val="28"/>
        </w:rPr>
        <w:t>associate</w:t>
      </w:r>
      <w:r>
        <w:rPr>
          <w:spacing w:val="8"/>
          <w:sz w:val="28"/>
        </w:rPr>
        <w:t xml:space="preserve"> </w:t>
      </w:r>
      <w:r>
        <w:rPr>
          <w:spacing w:val="-2"/>
          <w:sz w:val="28"/>
        </w:rPr>
        <w:t>editors,</w:t>
      </w:r>
    </w:p>
    <w:p w:rsidR="00074F89" w:rsidRDefault="00074F89" w:rsidP="00074F89">
      <w:pPr>
        <w:pStyle w:val="a3"/>
        <w:ind w:right="140" w:firstLine="0"/>
        <w:jc w:val="both"/>
      </w:pPr>
      <w:r>
        <w:t>N.S. Adzick, A.A. Caldamone, T.M. Crummel et al., Philadelphia, 2013 – P. 1231- 1235, 1255-1264.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spacing w:line="242" w:lineRule="auto"/>
        <w:ind w:right="140" w:firstLine="707"/>
        <w:jc w:val="both"/>
        <w:rPr>
          <w:sz w:val="28"/>
        </w:rPr>
      </w:pPr>
      <w:r>
        <w:rPr>
          <w:sz w:val="28"/>
        </w:rPr>
        <w:t xml:space="preserve">Pediatric Surgery [7th Edition] George W. Holcomb III, </w:t>
      </w:r>
      <w:r>
        <w:rPr>
          <w:color w:val="000000"/>
          <w:sz w:val="28"/>
          <w:shd w:val="clear" w:color="auto" w:fill="F0F0F0"/>
        </w:rPr>
        <w:t>Ashcraft’s/ -</w:t>
      </w:r>
      <w:r>
        <w:rPr>
          <w:color w:val="000000"/>
          <w:sz w:val="28"/>
        </w:rPr>
        <w:t xml:space="preserve"> </w:t>
      </w:r>
      <w:r>
        <w:rPr>
          <w:color w:val="000000"/>
          <w:spacing w:val="-2"/>
          <w:sz w:val="28"/>
        </w:rPr>
        <w:t>Saunders,2020.-1316p.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63" w:firstLine="707"/>
        <w:jc w:val="both"/>
        <w:rPr>
          <w:sz w:val="28"/>
        </w:rPr>
      </w:pPr>
      <w:r>
        <w:rPr>
          <w:sz w:val="28"/>
        </w:rPr>
        <w:t xml:space="preserve">PediatricSurgery </w:t>
      </w:r>
      <w:r>
        <w:rPr>
          <w:color w:val="000000"/>
          <w:sz w:val="28"/>
          <w:shd w:val="clear" w:color="auto" w:fill="FBFBFB"/>
        </w:rPr>
        <w:t>Emmanuel / A. Ameh Stephen W. Bickler Kokila Lakhoo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shd w:val="clear" w:color="auto" w:fill="FBFBFB"/>
        </w:rPr>
        <w:t>Benedict</w:t>
      </w:r>
      <w:r>
        <w:rPr>
          <w:color w:val="000000"/>
          <w:spacing w:val="36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C.</w:t>
      </w:r>
      <w:r>
        <w:rPr>
          <w:color w:val="000000"/>
          <w:spacing w:val="38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Nwomeh</w:t>
      </w:r>
      <w:r>
        <w:rPr>
          <w:color w:val="000000"/>
          <w:spacing w:val="39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Dan</w:t>
      </w:r>
      <w:r>
        <w:rPr>
          <w:color w:val="000000"/>
          <w:spacing w:val="39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Poenaru.</w:t>
      </w:r>
      <w:r>
        <w:rPr>
          <w:color w:val="000000"/>
          <w:spacing w:val="40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-</w:t>
      </w:r>
      <w:r>
        <w:rPr>
          <w:color w:val="000000"/>
          <w:spacing w:val="39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Springer, Cham,</w:t>
      </w:r>
      <w:r>
        <w:rPr>
          <w:color w:val="000000"/>
          <w:spacing w:val="38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2020.-</w:t>
      </w:r>
      <w:r>
        <w:rPr>
          <w:color w:val="000000"/>
          <w:spacing w:val="35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398</w:t>
      </w:r>
      <w:r>
        <w:rPr>
          <w:color w:val="000000"/>
          <w:spacing w:val="36"/>
          <w:sz w:val="28"/>
          <w:shd w:val="clear" w:color="auto" w:fill="FBFBFB"/>
        </w:rPr>
        <w:t xml:space="preserve"> </w:t>
      </w:r>
      <w:r>
        <w:rPr>
          <w:color w:val="000000"/>
          <w:sz w:val="28"/>
          <w:shd w:val="clear" w:color="auto" w:fill="FBFBFB"/>
        </w:rPr>
        <w:t>p.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5" w:firstLine="707"/>
        <w:jc w:val="both"/>
        <w:rPr>
          <w:sz w:val="28"/>
        </w:rPr>
      </w:pPr>
      <w:r>
        <w:rPr>
          <w:sz w:val="28"/>
        </w:rPr>
        <w:t>Puri P. Pediatric Surgery General Principles and Newborn Surgery/ Prem</w:t>
      </w:r>
      <w:r>
        <w:rPr>
          <w:spacing w:val="40"/>
          <w:sz w:val="28"/>
        </w:rPr>
        <w:t xml:space="preserve"> </w:t>
      </w:r>
      <w:r>
        <w:rPr>
          <w:sz w:val="28"/>
        </w:rPr>
        <w:t>Puri, ed. Springer, 2020.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spacing w:line="242" w:lineRule="auto"/>
        <w:ind w:right="151" w:firstLine="707"/>
        <w:jc w:val="both"/>
        <w:rPr>
          <w:sz w:val="28"/>
        </w:rPr>
      </w:pPr>
      <w:r>
        <w:rPr>
          <w:sz w:val="28"/>
        </w:rPr>
        <w:t>Pediatric surgery: in Greenfields Surgery Scientific Principles&amp;Practice, 6th edition, 2017.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41" w:firstLine="707"/>
        <w:jc w:val="both"/>
        <w:rPr>
          <w:sz w:val="28"/>
        </w:rPr>
      </w:pPr>
      <w:r>
        <w:rPr>
          <w:sz w:val="28"/>
        </w:rPr>
        <w:t>PediatricSurgery: textbook / V.A. Dihtiar, V.I. Sushko,</w:t>
      </w:r>
      <w:r>
        <w:rPr>
          <w:spacing w:val="80"/>
          <w:sz w:val="28"/>
        </w:rPr>
        <w:t xml:space="preserve"> </w:t>
      </w:r>
      <w:r>
        <w:rPr>
          <w:sz w:val="28"/>
        </w:rPr>
        <w:t>D.Yu.Kryvcheniaetal.; editedbyV.A. Dihtiar, V.I. Sushko, D.YuKryvchenia.</w:t>
      </w:r>
      <w:r>
        <w:rPr>
          <w:spacing w:val="40"/>
          <w:sz w:val="28"/>
        </w:rPr>
        <w:t xml:space="preserve"> </w:t>
      </w:r>
      <w:r>
        <w:rPr>
          <w:sz w:val="28"/>
        </w:rPr>
        <w:t>– Kyiv: AUSMedicinePublishing, 2019. – 368 p.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ind w:right="150" w:firstLine="707"/>
        <w:jc w:val="both"/>
        <w:rPr>
          <w:sz w:val="28"/>
        </w:rPr>
      </w:pPr>
      <w:r>
        <w:rPr>
          <w:sz w:val="28"/>
        </w:rPr>
        <w:t>Pena A. Surgical treatment of colorectal problems in children / A. Pena, A. Bischoff. -</w:t>
      </w:r>
      <w:r>
        <w:rPr>
          <w:spacing w:val="40"/>
          <w:sz w:val="28"/>
        </w:rPr>
        <w:t xml:space="preserve"> </w:t>
      </w:r>
      <w:r>
        <w:rPr>
          <w:sz w:val="28"/>
        </w:rPr>
        <w:t>Springer, New York. 2015. – 497 p.</w:t>
      </w:r>
    </w:p>
    <w:p w:rsidR="00074F89" w:rsidRDefault="00074F89" w:rsidP="00074F89">
      <w:pPr>
        <w:pStyle w:val="a5"/>
        <w:numPr>
          <w:ilvl w:val="0"/>
          <w:numId w:val="3"/>
        </w:numPr>
        <w:tabs>
          <w:tab w:val="left" w:pos="1349"/>
        </w:tabs>
        <w:spacing w:line="242" w:lineRule="auto"/>
        <w:ind w:right="145" w:firstLine="707"/>
        <w:jc w:val="both"/>
        <w:rPr>
          <w:sz w:val="28"/>
        </w:rPr>
      </w:pPr>
      <w:r>
        <w:rPr>
          <w:sz w:val="28"/>
        </w:rPr>
        <w:t>Pols H.A.P. Anorectal malformations / H.A.P. Pols. - Desiree van den</w:t>
      </w:r>
      <w:r>
        <w:rPr>
          <w:spacing w:val="40"/>
          <w:sz w:val="28"/>
        </w:rPr>
        <w:t xml:space="preserve"> </w:t>
      </w:r>
      <w:r>
        <w:rPr>
          <w:sz w:val="28"/>
        </w:rPr>
        <w:t>Hondel, 2015. – 213 p.</w:t>
      </w:r>
    </w:p>
    <w:p w:rsidR="00074F89" w:rsidRDefault="00074F89" w:rsidP="00074F89">
      <w:pPr>
        <w:spacing w:before="303" w:line="322" w:lineRule="exact"/>
        <w:ind w:left="3682"/>
        <w:rPr>
          <w:b/>
          <w:sz w:val="28"/>
        </w:rPr>
      </w:pPr>
      <w:r>
        <w:rPr>
          <w:b/>
          <w:sz w:val="28"/>
        </w:rPr>
        <w:t>ДОДАТКОВА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ЛІТЕРАТУРА</w:t>
      </w:r>
    </w:p>
    <w:p w:rsidR="00074F89" w:rsidRDefault="00074F89" w:rsidP="00074F89">
      <w:pPr>
        <w:pStyle w:val="a5"/>
        <w:numPr>
          <w:ilvl w:val="0"/>
          <w:numId w:val="2"/>
        </w:numPr>
        <w:tabs>
          <w:tab w:val="left" w:pos="1349"/>
        </w:tabs>
        <w:ind w:right="143" w:firstLine="707"/>
        <w:jc w:val="both"/>
        <w:rPr>
          <w:sz w:val="28"/>
        </w:rPr>
      </w:pPr>
      <w:r>
        <w:rPr>
          <w:sz w:val="28"/>
        </w:rPr>
        <w:t>Боднар О.Б. Хронічний колостаз у дітей (хірургічний погляд на проблему) // О.Б. Боднар, О.П. Джам, В.П. Притула [та ін.]. – Чернівці: БДМУ, 2016. – 199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spacing w:before="1"/>
        <w:ind w:right="143" w:firstLine="707"/>
        <w:jc w:val="both"/>
        <w:rPr>
          <w:sz w:val="28"/>
        </w:rPr>
      </w:pPr>
      <w:r>
        <w:rPr>
          <w:sz w:val="28"/>
        </w:rPr>
        <w:t>Бензар І. Судинні аномалії у дітей / І. Бензар, А. Левицький, В. Бліхар. – Тернопіль : ТДМУ, 2017. – 360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1" w:firstLine="707"/>
        <w:jc w:val="both"/>
        <w:rPr>
          <w:sz w:val="28"/>
        </w:rPr>
      </w:pPr>
      <w:r>
        <w:rPr>
          <w:sz w:val="28"/>
        </w:rPr>
        <w:t>Васильчишина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А.В.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Перинатальна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анатомія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сідничної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ділянки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/ А.В.</w:t>
      </w:r>
      <w:r>
        <w:rPr>
          <w:spacing w:val="-3"/>
          <w:sz w:val="28"/>
        </w:rPr>
        <w:t xml:space="preserve"> </w:t>
      </w:r>
      <w:r>
        <w:rPr>
          <w:sz w:val="28"/>
        </w:rPr>
        <w:t>Васильчишина, Т.В. Хмара, Я.М. Васильчишина. – Чернівці:</w:t>
      </w:r>
      <w:r>
        <w:rPr>
          <w:spacing w:val="40"/>
          <w:sz w:val="28"/>
        </w:rPr>
        <w:t xml:space="preserve"> </w:t>
      </w:r>
      <w:r>
        <w:rPr>
          <w:sz w:val="28"/>
        </w:rPr>
        <w:t>Медуніверситет, 2017, - 220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6" w:firstLine="707"/>
        <w:jc w:val="both"/>
        <w:rPr>
          <w:sz w:val="28"/>
        </w:rPr>
      </w:pPr>
      <w:r>
        <w:rPr>
          <w:sz w:val="28"/>
        </w:rPr>
        <w:t>Гойда Н.Г., Добрянський Д.О., Знаменська Т.К. Уніфікований клінічний протокол"Початкова, реанімаційна і післяреанімаційна допомога</w:t>
      </w:r>
      <w:r>
        <w:rPr>
          <w:spacing w:val="80"/>
          <w:sz w:val="28"/>
        </w:rPr>
        <w:t xml:space="preserve"> </w:t>
      </w:r>
      <w:r>
        <w:rPr>
          <w:sz w:val="28"/>
        </w:rPr>
        <w:t>новонародженим в Україні". Київ. 2014, 18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51" w:firstLine="707"/>
        <w:jc w:val="both"/>
        <w:rPr>
          <w:sz w:val="28"/>
        </w:rPr>
      </w:pPr>
      <w:r>
        <w:rPr>
          <w:sz w:val="28"/>
        </w:rPr>
        <w:t>Диагностика и лечение стеноза пищевода у детей /Д.Ю. Кривченя, А.Г. Дубровин, С.А. Андреещев. – К.: Лига-Информ, 2008. – 182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8"/>
        </w:tabs>
        <w:ind w:right="134" w:firstLine="707"/>
        <w:jc w:val="both"/>
        <w:rPr>
          <w:sz w:val="28"/>
        </w:rPr>
      </w:pPr>
      <w:r>
        <w:rPr>
          <w:sz w:val="28"/>
        </w:rPr>
        <w:t xml:space="preserve">Клиническое обследование ребенка / А.В. Катилов, Д.В. Дмитриев, Е.Ю. </w:t>
      </w:r>
      <w:r>
        <w:rPr>
          <w:spacing w:val="-6"/>
          <w:sz w:val="28"/>
        </w:rPr>
        <w:t>Дмитриева,</w:t>
      </w:r>
      <w:r>
        <w:rPr>
          <w:spacing w:val="-18"/>
          <w:sz w:val="28"/>
        </w:rPr>
        <w:t xml:space="preserve"> </w:t>
      </w:r>
      <w:r>
        <w:rPr>
          <w:spacing w:val="-6"/>
          <w:sz w:val="28"/>
        </w:rPr>
        <w:t>С.Ю.</w:t>
      </w:r>
      <w:r>
        <w:rPr>
          <w:spacing w:val="-16"/>
          <w:sz w:val="28"/>
        </w:rPr>
        <w:t xml:space="preserve"> </w:t>
      </w:r>
      <w:r>
        <w:rPr>
          <w:spacing w:val="-6"/>
          <w:sz w:val="28"/>
        </w:rPr>
        <w:t>Макаров.</w:t>
      </w:r>
      <w:r>
        <w:rPr>
          <w:spacing w:val="-17"/>
          <w:sz w:val="28"/>
        </w:rPr>
        <w:t xml:space="preserve"> </w:t>
      </w:r>
      <w:r>
        <w:rPr>
          <w:spacing w:val="-6"/>
          <w:sz w:val="28"/>
        </w:rPr>
        <w:t>–</w:t>
      </w:r>
      <w:r>
        <w:rPr>
          <w:spacing w:val="-14"/>
          <w:sz w:val="28"/>
        </w:rPr>
        <w:t xml:space="preserve"> </w:t>
      </w:r>
      <w:r>
        <w:rPr>
          <w:spacing w:val="-6"/>
          <w:sz w:val="28"/>
        </w:rPr>
        <w:t>Винница:</w:t>
      </w:r>
      <w:r>
        <w:rPr>
          <w:spacing w:val="-14"/>
          <w:sz w:val="28"/>
        </w:rPr>
        <w:t xml:space="preserve"> </w:t>
      </w:r>
      <w:r>
        <w:rPr>
          <w:spacing w:val="-6"/>
          <w:sz w:val="28"/>
        </w:rPr>
        <w:t>Нова</w:t>
      </w:r>
      <w:r>
        <w:rPr>
          <w:spacing w:val="-15"/>
          <w:sz w:val="28"/>
        </w:rPr>
        <w:t xml:space="preserve"> </w:t>
      </w:r>
      <w:r>
        <w:rPr>
          <w:spacing w:val="-6"/>
          <w:sz w:val="28"/>
        </w:rPr>
        <w:t>книга,</w:t>
      </w:r>
      <w:r>
        <w:rPr>
          <w:spacing w:val="-18"/>
          <w:sz w:val="28"/>
        </w:rPr>
        <w:t xml:space="preserve"> </w:t>
      </w:r>
      <w:r>
        <w:rPr>
          <w:spacing w:val="-6"/>
          <w:sz w:val="28"/>
        </w:rPr>
        <w:t>2016.</w:t>
      </w:r>
      <w:r>
        <w:rPr>
          <w:spacing w:val="-18"/>
          <w:sz w:val="28"/>
        </w:rPr>
        <w:t xml:space="preserve"> </w:t>
      </w:r>
      <w:r>
        <w:rPr>
          <w:spacing w:val="-6"/>
          <w:sz w:val="28"/>
        </w:rPr>
        <w:t>–</w:t>
      </w:r>
      <w:r>
        <w:rPr>
          <w:spacing w:val="-16"/>
          <w:sz w:val="28"/>
        </w:rPr>
        <w:t xml:space="preserve"> </w:t>
      </w:r>
      <w:r>
        <w:rPr>
          <w:spacing w:val="-6"/>
          <w:sz w:val="28"/>
        </w:rPr>
        <w:t>560</w:t>
      </w:r>
      <w:r>
        <w:rPr>
          <w:spacing w:val="-14"/>
          <w:sz w:val="28"/>
        </w:rPr>
        <w:t xml:space="preserve"> </w:t>
      </w:r>
      <w:r>
        <w:rPr>
          <w:spacing w:val="-6"/>
          <w:sz w:val="28"/>
        </w:rPr>
        <w:t>с.</w:t>
      </w:r>
    </w:p>
    <w:p w:rsidR="00074F89" w:rsidRDefault="00074F89" w:rsidP="00074F89">
      <w:pPr>
        <w:jc w:val="both"/>
        <w:rPr>
          <w:sz w:val="28"/>
        </w:rPr>
        <w:sectPr w:rsidR="00074F89">
          <w:pgSz w:w="11910" w:h="16840"/>
          <w:pgMar w:top="760" w:right="420" w:bottom="940" w:left="1200" w:header="0" w:footer="751" w:gutter="0"/>
          <w:cols w:space="720"/>
        </w:sectPr>
      </w:pP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spacing w:before="73"/>
        <w:ind w:right="146" w:firstLine="707"/>
        <w:jc w:val="both"/>
        <w:rPr>
          <w:sz w:val="28"/>
        </w:rPr>
      </w:pPr>
      <w:r>
        <w:rPr>
          <w:sz w:val="28"/>
        </w:rPr>
        <w:lastRenderedPageBreak/>
        <w:t>Конопліцький В.С. Апендицит у дітей: вікові особливості клінічних проявів та епонімічна симптоматика / В.С. Конопліцький, В.В. Погорілий, О.Г. Якименко, О.О. Фомін. – Вінниця, ТОВ «ТВОРИ». – 2020. – 112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1" w:firstLine="707"/>
        <w:jc w:val="both"/>
        <w:rPr>
          <w:sz w:val="28"/>
        </w:rPr>
      </w:pPr>
      <w:r>
        <w:rPr>
          <w:sz w:val="28"/>
        </w:rPr>
        <w:t>Ксьонз І.В. Практичні навички з дитячої хірургії та реаніматології / І.В. Ксьонз, Є.М. Гриценко, Д.А. Шкурупій. – Полтава, видавництво «Сімон», 2015. – 127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spacing w:before="1"/>
        <w:ind w:right="141" w:firstLine="707"/>
        <w:jc w:val="both"/>
        <w:rPr>
          <w:sz w:val="28"/>
        </w:rPr>
      </w:pPr>
      <w:r>
        <w:rPr>
          <w:sz w:val="28"/>
        </w:rPr>
        <w:t>Лима М. Детская урология. Современные операционные методики: от внутриутробного периода до пубертата / Марио Лима, Джанантонио Манцони. – ГЭОТАР – Медиа. – 2018. – 464с.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51" w:firstLine="707"/>
        <w:jc w:val="both"/>
        <w:rPr>
          <w:sz w:val="28"/>
        </w:rPr>
      </w:pPr>
      <w:r>
        <w:rPr>
          <w:sz w:val="28"/>
        </w:rPr>
        <w:t>Макаров А.В., Данилов О.А., Сокур П.П., Рибальченко В.Ф., Юрченко М.І. Хвороби стравоходу у дітей. – К.: КМАПО, 2003. – 358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2" w:firstLine="707"/>
        <w:jc w:val="both"/>
        <w:rPr>
          <w:sz w:val="28"/>
        </w:rPr>
      </w:pPr>
      <w:r>
        <w:rPr>
          <w:sz w:val="28"/>
        </w:rPr>
        <w:t>Некротизуючий ентероколіт у новонароджених / І.О. Македонський,</w:t>
      </w:r>
      <w:r>
        <w:rPr>
          <w:spacing w:val="40"/>
          <w:sz w:val="28"/>
        </w:rPr>
        <w:t xml:space="preserve"> </w:t>
      </w:r>
      <w:r>
        <w:rPr>
          <w:sz w:val="28"/>
        </w:rPr>
        <w:t>Т.К. Знаменська, Т.К. Мавропуло, О.М. Горбатюк, О.В. Воробйова. – Житомир.: Видавець О.О. Євенюк, 2019. – 208 с.</w:t>
      </w:r>
    </w:p>
    <w:p w:rsidR="00074F89" w:rsidRDefault="00074F89" w:rsidP="00074F89">
      <w:pPr>
        <w:pStyle w:val="a3"/>
        <w:ind w:right="142"/>
        <w:jc w:val="both"/>
      </w:pPr>
      <w:r>
        <w:t>1. Порушення</w:t>
      </w:r>
      <w:r>
        <w:rPr>
          <w:spacing w:val="40"/>
        </w:rPr>
        <w:t xml:space="preserve"> </w:t>
      </w:r>
      <w:r>
        <w:t>випорожнень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дітей:</w:t>
      </w:r>
      <w:r>
        <w:rPr>
          <w:spacing w:val="40"/>
        </w:rPr>
        <w:t xml:space="preserve"> </w:t>
      </w:r>
      <w:r>
        <w:t>закрепи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енкопрез</w:t>
      </w:r>
      <w:r>
        <w:rPr>
          <w:spacing w:val="40"/>
        </w:rPr>
        <w:t xml:space="preserve"> </w:t>
      </w:r>
      <w:r>
        <w:t>/В.Ф. Рибальченко, В.В. Бережний, В.С. Конопліцький та ін.; За ред. проф. В.Ф. Рибальченка, В.В. Бережного, В.С. Конопліцького, П.С. Русака. – К.: ПП «ІНПОЛ ЛТМ», ТОВ «Друкарня "Рута"», 2018. – 548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50"/>
        </w:tabs>
        <w:spacing w:line="320" w:lineRule="exact"/>
        <w:ind w:left="1350" w:hanging="424"/>
        <w:jc w:val="both"/>
        <w:rPr>
          <w:sz w:val="28"/>
        </w:rPr>
      </w:pPr>
      <w:r>
        <w:rPr>
          <w:sz w:val="28"/>
        </w:rPr>
        <w:t>Рибальченко</w:t>
      </w:r>
      <w:r>
        <w:rPr>
          <w:spacing w:val="-1"/>
          <w:sz w:val="28"/>
        </w:rPr>
        <w:t xml:space="preserve"> </w:t>
      </w:r>
      <w:r>
        <w:rPr>
          <w:sz w:val="28"/>
        </w:rPr>
        <w:t>В.Ф.</w:t>
      </w:r>
      <w:r>
        <w:rPr>
          <w:spacing w:val="2"/>
          <w:sz w:val="28"/>
        </w:rPr>
        <w:t xml:space="preserve"> </w:t>
      </w:r>
      <w:r>
        <w:rPr>
          <w:sz w:val="28"/>
        </w:rPr>
        <w:t>Порушення</w:t>
      </w:r>
      <w:r>
        <w:rPr>
          <w:spacing w:val="6"/>
          <w:sz w:val="28"/>
        </w:rPr>
        <w:t xml:space="preserve"> </w:t>
      </w:r>
      <w:r>
        <w:rPr>
          <w:sz w:val="28"/>
        </w:rPr>
        <w:t>випорожнень</w:t>
      </w:r>
      <w:r>
        <w:rPr>
          <w:spacing w:val="2"/>
          <w:sz w:val="28"/>
        </w:rPr>
        <w:t xml:space="preserve"> </w:t>
      </w:r>
      <w:r>
        <w:rPr>
          <w:sz w:val="28"/>
        </w:rPr>
        <w:t>у дітей:</w:t>
      </w:r>
      <w:r>
        <w:rPr>
          <w:spacing w:val="3"/>
          <w:sz w:val="28"/>
        </w:rPr>
        <w:t xml:space="preserve"> </w:t>
      </w:r>
      <w:r>
        <w:rPr>
          <w:sz w:val="28"/>
        </w:rPr>
        <w:t>закрепи</w:t>
      </w:r>
      <w:r>
        <w:rPr>
          <w:spacing w:val="2"/>
          <w:sz w:val="28"/>
        </w:rPr>
        <w:t xml:space="preserve"> </w:t>
      </w:r>
      <w:r>
        <w:rPr>
          <w:sz w:val="28"/>
        </w:rPr>
        <w:t>та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енкопрез</w:t>
      </w:r>
    </w:p>
    <w:p w:rsidR="00074F89" w:rsidRDefault="00074F89" w:rsidP="00074F89">
      <w:pPr>
        <w:pStyle w:val="a3"/>
        <w:spacing w:before="2"/>
        <w:ind w:firstLine="0"/>
      </w:pPr>
      <w:r>
        <w:t>/ В.Ф.Рибальченко,</w:t>
      </w:r>
      <w:r>
        <w:rPr>
          <w:spacing w:val="-1"/>
        </w:rPr>
        <w:t xml:space="preserve"> </w:t>
      </w:r>
      <w:r>
        <w:t xml:space="preserve">В.В.Бережний, П.С.Русак. – ПП “ІНПОЛ ЛТМ” Київ. – 2018. – </w:t>
      </w:r>
      <w:r>
        <w:rPr>
          <w:spacing w:val="-2"/>
        </w:rPr>
        <w:t>547с.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52" w:firstLine="707"/>
        <w:jc w:val="both"/>
        <w:rPr>
          <w:sz w:val="28"/>
        </w:rPr>
      </w:pPr>
      <w:r>
        <w:rPr>
          <w:sz w:val="28"/>
        </w:rPr>
        <w:t>Слободян О.М. Клінічна анатомія прямої кишки та відхідника / О.М. Слободян, Г.Я. Костюк, В.Г. Дуденко [та ін.]. – Чернівці, 2015. – 180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4" w:firstLine="707"/>
        <w:jc w:val="both"/>
        <w:rPr>
          <w:sz w:val="28"/>
        </w:rPr>
      </w:pPr>
      <w:r>
        <w:rPr>
          <w:sz w:val="28"/>
        </w:rPr>
        <w:t>Хронічний колостаз у дітей (хірургічний погляд на проблему) / О.Б. Боднар, О.П. Джам, В.П. Притула, Л.І. Ватаманеску, Г.Б. Боднар. – Чернівці: БДМУ, 2016. – 199 с.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7" w:firstLine="707"/>
        <w:jc w:val="both"/>
        <w:rPr>
          <w:sz w:val="28"/>
        </w:rPr>
      </w:pPr>
      <w:r>
        <w:rPr>
          <w:sz w:val="28"/>
        </w:rPr>
        <w:t>Ahmed H. Al-Salem An illustrated Guide to Pediatric Urology Springer, Switzerland. 2017, 702 р.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6" w:firstLine="707"/>
        <w:jc w:val="both"/>
        <w:rPr>
          <w:sz w:val="28"/>
        </w:rPr>
      </w:pPr>
      <w:r>
        <w:rPr>
          <w:sz w:val="28"/>
        </w:rPr>
        <w:t>Carachi R., Agarwala S., Tim j. Bradnock Basic Techniques in Pediatric Surgery // Springer, 2013.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1" w:firstLine="707"/>
        <w:jc w:val="both"/>
        <w:rPr>
          <w:sz w:val="28"/>
        </w:rPr>
      </w:pPr>
      <w:r>
        <w:rPr>
          <w:sz w:val="28"/>
        </w:rPr>
        <w:t>Danielson J. Anorectal Malformations. Long-term outcome and aspects of secondary treatment / J. Danielson. - Uppsala: Acta Universitatis Upsaliensis, - 2015. – 109 p.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ind w:right="143" w:firstLine="707"/>
        <w:jc w:val="both"/>
        <w:rPr>
          <w:sz w:val="28"/>
        </w:rPr>
      </w:pPr>
      <w:r>
        <w:rPr>
          <w:sz w:val="28"/>
        </w:rPr>
        <w:t>Hoekman D.R. Studies on inflammatory bowel disease and functional gastrointestinal disorders in children and adults / D.R. Hoekman. – AMC-UvA, 2016. – 310 p.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50"/>
        </w:tabs>
        <w:spacing w:line="321" w:lineRule="exact"/>
        <w:ind w:left="1350" w:hanging="424"/>
        <w:jc w:val="both"/>
        <w:rPr>
          <w:sz w:val="28"/>
        </w:rPr>
      </w:pPr>
      <w:r>
        <w:rPr>
          <w:sz w:val="28"/>
        </w:rPr>
        <w:t>Hoyte</w:t>
      </w:r>
      <w:r>
        <w:rPr>
          <w:spacing w:val="-2"/>
          <w:sz w:val="28"/>
        </w:rPr>
        <w:t xml:space="preserve"> </w:t>
      </w:r>
      <w:r>
        <w:rPr>
          <w:sz w:val="28"/>
        </w:rPr>
        <w:t>L. Biomechanics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1"/>
          <w:sz w:val="28"/>
        </w:rPr>
        <w:t xml:space="preserve"> </w:t>
      </w:r>
      <w:r>
        <w:rPr>
          <w:sz w:val="28"/>
        </w:rPr>
        <w:t>Female Pelvic</w:t>
      </w:r>
      <w:r>
        <w:rPr>
          <w:spacing w:val="1"/>
          <w:sz w:val="28"/>
        </w:rPr>
        <w:t xml:space="preserve"> </w:t>
      </w:r>
      <w:r>
        <w:rPr>
          <w:sz w:val="28"/>
        </w:rPr>
        <w:t>Floor</w:t>
      </w:r>
      <w:r>
        <w:rPr>
          <w:spacing w:val="-2"/>
          <w:sz w:val="28"/>
        </w:rPr>
        <w:t xml:space="preserve"> </w:t>
      </w:r>
      <w:r>
        <w:rPr>
          <w:sz w:val="28"/>
        </w:rPr>
        <w:t>/ L. Hoyte,</w:t>
      </w:r>
      <w:r>
        <w:rPr>
          <w:spacing w:val="-2"/>
          <w:sz w:val="28"/>
        </w:rPr>
        <w:t xml:space="preserve"> </w:t>
      </w:r>
      <w:r>
        <w:rPr>
          <w:sz w:val="28"/>
        </w:rPr>
        <w:t>M.S.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Damaser.</w:t>
      </w:r>
    </w:p>
    <w:p w:rsidR="00074F89" w:rsidRDefault="00074F89" w:rsidP="00074F89">
      <w:pPr>
        <w:pStyle w:val="a3"/>
        <w:ind w:firstLine="0"/>
        <w:jc w:val="both"/>
      </w:pPr>
      <w:r>
        <w:t>-</w:t>
      </w:r>
      <w:r>
        <w:rPr>
          <w:spacing w:val="64"/>
        </w:rPr>
        <w:t xml:space="preserve"> </w:t>
      </w:r>
      <w:r>
        <w:t>Elsevier,</w:t>
      </w:r>
      <w:r>
        <w:rPr>
          <w:spacing w:val="-4"/>
        </w:rPr>
        <w:t xml:space="preserve"> </w:t>
      </w:r>
      <w:r>
        <w:t>2016.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550</w:t>
      </w:r>
      <w:r>
        <w:rPr>
          <w:spacing w:val="-5"/>
        </w:rPr>
        <w:t xml:space="preserve"> р.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50"/>
        </w:tabs>
        <w:ind w:left="1350" w:hanging="424"/>
        <w:jc w:val="both"/>
        <w:rPr>
          <w:sz w:val="28"/>
        </w:rPr>
      </w:pPr>
      <w:r>
        <w:rPr>
          <w:sz w:val="28"/>
        </w:rPr>
        <w:t>Nelson</w:t>
      </w:r>
      <w:r>
        <w:rPr>
          <w:spacing w:val="-9"/>
          <w:sz w:val="28"/>
        </w:rPr>
        <w:t xml:space="preserve"> </w:t>
      </w:r>
      <w:r>
        <w:rPr>
          <w:sz w:val="28"/>
        </w:rPr>
        <w:t>texbook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7"/>
          <w:sz w:val="28"/>
        </w:rPr>
        <w:t xml:space="preserve"> </w:t>
      </w:r>
      <w:r>
        <w:rPr>
          <w:sz w:val="28"/>
        </w:rPr>
        <w:t>pediatrics,</w:t>
      </w:r>
      <w:r>
        <w:rPr>
          <w:spacing w:val="-5"/>
          <w:sz w:val="28"/>
        </w:rPr>
        <w:t xml:space="preserve"> </w:t>
      </w:r>
      <w:r>
        <w:rPr>
          <w:sz w:val="28"/>
        </w:rPr>
        <w:t>20th</w:t>
      </w:r>
      <w:r>
        <w:rPr>
          <w:spacing w:val="-2"/>
          <w:sz w:val="28"/>
        </w:rPr>
        <w:t xml:space="preserve"> </w:t>
      </w:r>
      <w:r>
        <w:rPr>
          <w:sz w:val="28"/>
        </w:rPr>
        <w:t>ed.</w:t>
      </w:r>
      <w:r>
        <w:rPr>
          <w:spacing w:val="-5"/>
          <w:sz w:val="28"/>
        </w:rPr>
        <w:t xml:space="preserve"> </w:t>
      </w:r>
      <w:r>
        <w:rPr>
          <w:sz w:val="28"/>
        </w:rPr>
        <w:t>//</w:t>
      </w:r>
      <w:r>
        <w:rPr>
          <w:spacing w:val="-3"/>
          <w:sz w:val="28"/>
        </w:rPr>
        <w:t xml:space="preserve"> </w:t>
      </w:r>
      <w:r>
        <w:rPr>
          <w:sz w:val="28"/>
        </w:rPr>
        <w:t>Elsevier.</w:t>
      </w:r>
      <w:r>
        <w:rPr>
          <w:spacing w:val="-8"/>
          <w:sz w:val="28"/>
        </w:rPr>
        <w:t xml:space="preserve"> </w:t>
      </w:r>
      <w:r>
        <w:rPr>
          <w:sz w:val="28"/>
        </w:rPr>
        <w:t>2016,</w:t>
      </w:r>
      <w:r>
        <w:rPr>
          <w:spacing w:val="-5"/>
          <w:sz w:val="28"/>
        </w:rPr>
        <w:t xml:space="preserve"> </w:t>
      </w:r>
      <w:r>
        <w:rPr>
          <w:sz w:val="28"/>
        </w:rPr>
        <w:t>3388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р.</w:t>
      </w:r>
    </w:p>
    <w:p w:rsidR="00074F89" w:rsidRDefault="00074F89" w:rsidP="00074F89">
      <w:pPr>
        <w:pStyle w:val="a5"/>
        <w:numPr>
          <w:ilvl w:val="0"/>
          <w:numId w:val="1"/>
        </w:numPr>
        <w:tabs>
          <w:tab w:val="left" w:pos="1349"/>
        </w:tabs>
        <w:spacing w:before="2"/>
        <w:ind w:right="142" w:firstLine="707"/>
        <w:jc w:val="both"/>
        <w:rPr>
          <w:sz w:val="28"/>
        </w:rPr>
      </w:pPr>
      <w:r>
        <w:rPr>
          <w:sz w:val="28"/>
        </w:rPr>
        <w:t xml:space="preserve">Holschneider A.M. Anorectal malformations in children: embryology, diagnosis, surgical treatment, follow-up / A.M. Holschneider, J.M. Hutson. - </w:t>
      </w:r>
      <w:r>
        <w:rPr>
          <w:sz w:val="28"/>
        </w:rPr>
        <w:lastRenderedPageBreak/>
        <w:t>Springer, New York. 2006. – 480 p.</w:t>
      </w:r>
    </w:p>
    <w:p w:rsidR="002E20A1" w:rsidRDefault="002E20A1">
      <w:bookmarkStart w:id="0" w:name="_GoBack"/>
      <w:bookmarkEnd w:id="0"/>
    </w:p>
    <w:sectPr w:rsidR="002E2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C2D99"/>
    <w:multiLevelType w:val="hybridMultilevel"/>
    <w:tmpl w:val="21E81C5E"/>
    <w:lvl w:ilvl="0" w:tplc="9AA8C670">
      <w:start w:val="1"/>
      <w:numFmt w:val="decimal"/>
      <w:lvlText w:val="%1."/>
      <w:lvlJc w:val="left"/>
      <w:pPr>
        <w:ind w:left="21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32429F5E">
      <w:numFmt w:val="bullet"/>
      <w:lvlText w:val="•"/>
      <w:lvlJc w:val="left"/>
      <w:pPr>
        <w:ind w:left="1226" w:hanging="425"/>
      </w:pPr>
      <w:rPr>
        <w:rFonts w:hint="default"/>
        <w:lang w:val="uk-UA" w:eastAsia="en-US" w:bidi="ar-SA"/>
      </w:rPr>
    </w:lvl>
    <w:lvl w:ilvl="2" w:tplc="530EB608">
      <w:numFmt w:val="bullet"/>
      <w:lvlText w:val="•"/>
      <w:lvlJc w:val="left"/>
      <w:pPr>
        <w:ind w:left="2233" w:hanging="425"/>
      </w:pPr>
      <w:rPr>
        <w:rFonts w:hint="default"/>
        <w:lang w:val="uk-UA" w:eastAsia="en-US" w:bidi="ar-SA"/>
      </w:rPr>
    </w:lvl>
    <w:lvl w:ilvl="3" w:tplc="CB26F354">
      <w:numFmt w:val="bullet"/>
      <w:lvlText w:val="•"/>
      <w:lvlJc w:val="left"/>
      <w:pPr>
        <w:ind w:left="3239" w:hanging="425"/>
      </w:pPr>
      <w:rPr>
        <w:rFonts w:hint="default"/>
        <w:lang w:val="uk-UA" w:eastAsia="en-US" w:bidi="ar-SA"/>
      </w:rPr>
    </w:lvl>
    <w:lvl w:ilvl="4" w:tplc="6AE2B9C2">
      <w:numFmt w:val="bullet"/>
      <w:lvlText w:val="•"/>
      <w:lvlJc w:val="left"/>
      <w:pPr>
        <w:ind w:left="4246" w:hanging="425"/>
      </w:pPr>
      <w:rPr>
        <w:rFonts w:hint="default"/>
        <w:lang w:val="uk-UA" w:eastAsia="en-US" w:bidi="ar-SA"/>
      </w:rPr>
    </w:lvl>
    <w:lvl w:ilvl="5" w:tplc="F61424EE">
      <w:numFmt w:val="bullet"/>
      <w:lvlText w:val="•"/>
      <w:lvlJc w:val="left"/>
      <w:pPr>
        <w:ind w:left="5253" w:hanging="425"/>
      </w:pPr>
      <w:rPr>
        <w:rFonts w:hint="default"/>
        <w:lang w:val="uk-UA" w:eastAsia="en-US" w:bidi="ar-SA"/>
      </w:rPr>
    </w:lvl>
    <w:lvl w:ilvl="6" w:tplc="04CC4FA2">
      <w:numFmt w:val="bullet"/>
      <w:lvlText w:val="•"/>
      <w:lvlJc w:val="left"/>
      <w:pPr>
        <w:ind w:left="6259" w:hanging="425"/>
      </w:pPr>
      <w:rPr>
        <w:rFonts w:hint="default"/>
        <w:lang w:val="uk-UA" w:eastAsia="en-US" w:bidi="ar-SA"/>
      </w:rPr>
    </w:lvl>
    <w:lvl w:ilvl="7" w:tplc="6DE8F4CA">
      <w:numFmt w:val="bullet"/>
      <w:lvlText w:val="•"/>
      <w:lvlJc w:val="left"/>
      <w:pPr>
        <w:ind w:left="7266" w:hanging="425"/>
      </w:pPr>
      <w:rPr>
        <w:rFonts w:hint="default"/>
        <w:lang w:val="uk-UA" w:eastAsia="en-US" w:bidi="ar-SA"/>
      </w:rPr>
    </w:lvl>
    <w:lvl w:ilvl="8" w:tplc="887A2322">
      <w:numFmt w:val="bullet"/>
      <w:lvlText w:val="•"/>
      <w:lvlJc w:val="left"/>
      <w:pPr>
        <w:ind w:left="8273" w:hanging="425"/>
      </w:pPr>
      <w:rPr>
        <w:rFonts w:hint="default"/>
        <w:lang w:val="uk-UA" w:eastAsia="en-US" w:bidi="ar-SA"/>
      </w:rPr>
    </w:lvl>
  </w:abstractNum>
  <w:abstractNum w:abstractNumId="1" w15:restartNumberingAfterBreak="0">
    <w:nsid w:val="577C6D8F"/>
    <w:multiLevelType w:val="hybridMultilevel"/>
    <w:tmpl w:val="CAACCFF0"/>
    <w:lvl w:ilvl="0" w:tplc="B52034E8">
      <w:start w:val="1"/>
      <w:numFmt w:val="decimal"/>
      <w:lvlText w:val="%1."/>
      <w:lvlJc w:val="left"/>
      <w:pPr>
        <w:ind w:left="21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F82A14F8">
      <w:numFmt w:val="bullet"/>
      <w:lvlText w:val="•"/>
      <w:lvlJc w:val="left"/>
      <w:pPr>
        <w:ind w:left="1226" w:hanging="425"/>
      </w:pPr>
      <w:rPr>
        <w:rFonts w:hint="default"/>
        <w:lang w:val="uk-UA" w:eastAsia="en-US" w:bidi="ar-SA"/>
      </w:rPr>
    </w:lvl>
    <w:lvl w:ilvl="2" w:tplc="D7CA09E8">
      <w:numFmt w:val="bullet"/>
      <w:lvlText w:val="•"/>
      <w:lvlJc w:val="left"/>
      <w:pPr>
        <w:ind w:left="2233" w:hanging="425"/>
      </w:pPr>
      <w:rPr>
        <w:rFonts w:hint="default"/>
        <w:lang w:val="uk-UA" w:eastAsia="en-US" w:bidi="ar-SA"/>
      </w:rPr>
    </w:lvl>
    <w:lvl w:ilvl="3" w:tplc="7C3CA0E0">
      <w:numFmt w:val="bullet"/>
      <w:lvlText w:val="•"/>
      <w:lvlJc w:val="left"/>
      <w:pPr>
        <w:ind w:left="3239" w:hanging="425"/>
      </w:pPr>
      <w:rPr>
        <w:rFonts w:hint="default"/>
        <w:lang w:val="uk-UA" w:eastAsia="en-US" w:bidi="ar-SA"/>
      </w:rPr>
    </w:lvl>
    <w:lvl w:ilvl="4" w:tplc="19A2AB3E">
      <w:numFmt w:val="bullet"/>
      <w:lvlText w:val="•"/>
      <w:lvlJc w:val="left"/>
      <w:pPr>
        <w:ind w:left="4246" w:hanging="425"/>
      </w:pPr>
      <w:rPr>
        <w:rFonts w:hint="default"/>
        <w:lang w:val="uk-UA" w:eastAsia="en-US" w:bidi="ar-SA"/>
      </w:rPr>
    </w:lvl>
    <w:lvl w:ilvl="5" w:tplc="E4F89E24">
      <w:numFmt w:val="bullet"/>
      <w:lvlText w:val="•"/>
      <w:lvlJc w:val="left"/>
      <w:pPr>
        <w:ind w:left="5253" w:hanging="425"/>
      </w:pPr>
      <w:rPr>
        <w:rFonts w:hint="default"/>
        <w:lang w:val="uk-UA" w:eastAsia="en-US" w:bidi="ar-SA"/>
      </w:rPr>
    </w:lvl>
    <w:lvl w:ilvl="6" w:tplc="3E2CABD6">
      <w:numFmt w:val="bullet"/>
      <w:lvlText w:val="•"/>
      <w:lvlJc w:val="left"/>
      <w:pPr>
        <w:ind w:left="6259" w:hanging="425"/>
      </w:pPr>
      <w:rPr>
        <w:rFonts w:hint="default"/>
        <w:lang w:val="uk-UA" w:eastAsia="en-US" w:bidi="ar-SA"/>
      </w:rPr>
    </w:lvl>
    <w:lvl w:ilvl="7" w:tplc="A3B4D8BE">
      <w:numFmt w:val="bullet"/>
      <w:lvlText w:val="•"/>
      <w:lvlJc w:val="left"/>
      <w:pPr>
        <w:ind w:left="7266" w:hanging="425"/>
      </w:pPr>
      <w:rPr>
        <w:rFonts w:hint="default"/>
        <w:lang w:val="uk-UA" w:eastAsia="en-US" w:bidi="ar-SA"/>
      </w:rPr>
    </w:lvl>
    <w:lvl w:ilvl="8" w:tplc="8A067C3A">
      <w:numFmt w:val="bullet"/>
      <w:lvlText w:val="•"/>
      <w:lvlJc w:val="left"/>
      <w:pPr>
        <w:ind w:left="8273" w:hanging="425"/>
      </w:pPr>
      <w:rPr>
        <w:rFonts w:hint="default"/>
        <w:lang w:val="uk-UA" w:eastAsia="en-US" w:bidi="ar-SA"/>
      </w:rPr>
    </w:lvl>
  </w:abstractNum>
  <w:abstractNum w:abstractNumId="2" w15:restartNumberingAfterBreak="0">
    <w:nsid w:val="77C47A70"/>
    <w:multiLevelType w:val="hybridMultilevel"/>
    <w:tmpl w:val="DF5E9E22"/>
    <w:lvl w:ilvl="0" w:tplc="21B44208">
      <w:start w:val="1"/>
      <w:numFmt w:val="decimal"/>
      <w:lvlText w:val="%1."/>
      <w:lvlJc w:val="left"/>
      <w:pPr>
        <w:ind w:left="21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A120E040">
      <w:numFmt w:val="bullet"/>
      <w:lvlText w:val="•"/>
      <w:lvlJc w:val="left"/>
      <w:pPr>
        <w:ind w:left="1226" w:hanging="425"/>
      </w:pPr>
      <w:rPr>
        <w:rFonts w:hint="default"/>
        <w:lang w:val="uk-UA" w:eastAsia="en-US" w:bidi="ar-SA"/>
      </w:rPr>
    </w:lvl>
    <w:lvl w:ilvl="2" w:tplc="B5EA6D16">
      <w:numFmt w:val="bullet"/>
      <w:lvlText w:val="•"/>
      <w:lvlJc w:val="left"/>
      <w:pPr>
        <w:ind w:left="2233" w:hanging="425"/>
      </w:pPr>
      <w:rPr>
        <w:rFonts w:hint="default"/>
        <w:lang w:val="uk-UA" w:eastAsia="en-US" w:bidi="ar-SA"/>
      </w:rPr>
    </w:lvl>
    <w:lvl w:ilvl="3" w:tplc="3D1EF974">
      <w:numFmt w:val="bullet"/>
      <w:lvlText w:val="•"/>
      <w:lvlJc w:val="left"/>
      <w:pPr>
        <w:ind w:left="3239" w:hanging="425"/>
      </w:pPr>
      <w:rPr>
        <w:rFonts w:hint="default"/>
        <w:lang w:val="uk-UA" w:eastAsia="en-US" w:bidi="ar-SA"/>
      </w:rPr>
    </w:lvl>
    <w:lvl w:ilvl="4" w:tplc="9FD06B18">
      <w:numFmt w:val="bullet"/>
      <w:lvlText w:val="•"/>
      <w:lvlJc w:val="left"/>
      <w:pPr>
        <w:ind w:left="4246" w:hanging="425"/>
      </w:pPr>
      <w:rPr>
        <w:rFonts w:hint="default"/>
        <w:lang w:val="uk-UA" w:eastAsia="en-US" w:bidi="ar-SA"/>
      </w:rPr>
    </w:lvl>
    <w:lvl w:ilvl="5" w:tplc="FAF074AE">
      <w:numFmt w:val="bullet"/>
      <w:lvlText w:val="•"/>
      <w:lvlJc w:val="left"/>
      <w:pPr>
        <w:ind w:left="5253" w:hanging="425"/>
      </w:pPr>
      <w:rPr>
        <w:rFonts w:hint="default"/>
        <w:lang w:val="uk-UA" w:eastAsia="en-US" w:bidi="ar-SA"/>
      </w:rPr>
    </w:lvl>
    <w:lvl w:ilvl="6" w:tplc="AA7A74B4">
      <w:numFmt w:val="bullet"/>
      <w:lvlText w:val="•"/>
      <w:lvlJc w:val="left"/>
      <w:pPr>
        <w:ind w:left="6259" w:hanging="425"/>
      </w:pPr>
      <w:rPr>
        <w:rFonts w:hint="default"/>
        <w:lang w:val="uk-UA" w:eastAsia="en-US" w:bidi="ar-SA"/>
      </w:rPr>
    </w:lvl>
    <w:lvl w:ilvl="7" w:tplc="BC8A9134">
      <w:numFmt w:val="bullet"/>
      <w:lvlText w:val="•"/>
      <w:lvlJc w:val="left"/>
      <w:pPr>
        <w:ind w:left="7266" w:hanging="425"/>
      </w:pPr>
      <w:rPr>
        <w:rFonts w:hint="default"/>
        <w:lang w:val="uk-UA" w:eastAsia="en-US" w:bidi="ar-SA"/>
      </w:rPr>
    </w:lvl>
    <w:lvl w:ilvl="8" w:tplc="09EE54CC">
      <w:numFmt w:val="bullet"/>
      <w:lvlText w:val="•"/>
      <w:lvlJc w:val="left"/>
      <w:pPr>
        <w:ind w:left="8273" w:hanging="425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9DB"/>
    <w:rsid w:val="00074F89"/>
    <w:rsid w:val="002129DB"/>
    <w:rsid w:val="002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190BDA-20FA-4FC4-A51C-1E433AE5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74F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74F89"/>
    <w:pPr>
      <w:ind w:left="218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74F89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074F89"/>
    <w:pPr>
      <w:ind w:left="218" w:firstLine="70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987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malkovich</dc:creator>
  <cp:keywords/>
  <dc:description/>
  <cp:lastModifiedBy>jon malkovich</cp:lastModifiedBy>
  <cp:revision>2</cp:revision>
  <dcterms:created xsi:type="dcterms:W3CDTF">2023-11-24T23:05:00Z</dcterms:created>
  <dcterms:modified xsi:type="dcterms:W3CDTF">2023-11-24T23:05:00Z</dcterms:modified>
</cp:coreProperties>
</file>