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D95F5C" w:rsidRPr="008E6649" w:rsidTr="00D95F5C">
        <w:trPr>
          <w:tblCellSpacing w:w="0" w:type="dxa"/>
        </w:trPr>
        <w:tc>
          <w:tcPr>
            <w:tcW w:w="3000" w:type="pct"/>
            <w:hideMark/>
          </w:tcPr>
          <w:p w:rsidR="00D95F5C" w:rsidRPr="008E6649" w:rsidRDefault="00D95F5C" w:rsidP="008E6649">
            <w:pPr>
              <w:tabs>
                <w:tab w:val="left" w:pos="1552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0" w:name="_GoBack"/>
            <w:bookmarkEnd w:id="0"/>
          </w:p>
        </w:tc>
        <w:tc>
          <w:tcPr>
            <w:tcW w:w="200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ЗАТВЕРДЖЕНО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Наказ Міністерства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освіти і науки України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18.04.2017 № 605</w:t>
            </w:r>
          </w:p>
        </w:tc>
      </w:tr>
    </w:tbl>
    <w:p w:rsidR="00D95F5C" w:rsidRPr="008E6649" w:rsidRDefault="00D95F5C" w:rsidP="00D95F5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uk-UA"/>
        </w:rPr>
      </w:pPr>
      <w:bookmarkStart w:id="1" w:name="n14"/>
      <w:bookmarkEnd w:id="1"/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3"/>
        <w:gridCol w:w="3856"/>
      </w:tblGrid>
      <w:tr w:rsidR="00D95F5C" w:rsidRPr="008E6649" w:rsidTr="00D95F5C">
        <w:trPr>
          <w:tblCellSpacing w:w="0" w:type="dxa"/>
        </w:trPr>
        <w:tc>
          <w:tcPr>
            <w:tcW w:w="300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  <w:tc>
          <w:tcPr>
            <w:tcW w:w="200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Зареєстровано в Міністерстві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юстиції України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15 травня 2017 р.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за № 620/30488</w:t>
            </w:r>
          </w:p>
        </w:tc>
      </w:tr>
    </w:tbl>
    <w:p w:rsidR="00D95F5C" w:rsidRPr="008E6649" w:rsidRDefault="00D95F5C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" w:name="n15"/>
      <w:bookmarkEnd w:id="2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ПОЛОЖЕННЯ </w: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Всеукраїнський конкурс студентських наукових робіт з галузей знань і спеціальностей</w:t>
      </w:r>
    </w:p>
    <w:p w:rsidR="00D95F5C" w:rsidRPr="008E6649" w:rsidRDefault="00D95F5C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" w:name="n16"/>
      <w:bookmarkEnd w:id="3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І. Загальні положення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" w:name="n17"/>
      <w:bookmarkEnd w:id="4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1. Це Положення визначає порядок організації та проведення Всеукраїнського конкурсу студентських наукових робіт з галузей знань і спеціальностей (далі - Конкурс), завдання Конкурсу, вимоги до наукових робіт, подання та розгляд апеляцій, визначення та нагородження переможців, фінансування Конкурсу.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" w:name="n18"/>
      <w:bookmarkEnd w:id="5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2. Конкурс проводиться щороку з метою створення умов для розвитку інтелектуального потенціалу талановитої молоді, підтримки наукової та творчої роботи студентів (курсантів), стимулювання їх інтересу до дослідницької роботи, оволодіння ними інноваційними технологіями.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" w:name="n19"/>
      <w:bookmarkEnd w:id="6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3. У Конкурсі можуть брати участь студенти (курсанти), які здобувають вищу освіту за освітнім ступенем бакалавра, магістра (далі - студенти) у вищих навчальних закладах України незалежно від форм власності та підпорядкування, у тому числі іноземці та особи без громадянства, що навчаються у цих навчальних закладах, студенти вищих навчальних закладів інших країн.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" w:name="n20"/>
      <w:bookmarkEnd w:id="7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4. Засновником Конкурсу є Міністерство освіти і науки України (далі - МОН).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" w:name="n21"/>
      <w:bookmarkEnd w:id="8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5. Організаційно-методичне забезпечення Конкурсу здійснює державна наукова установа "Інститут модернізації змісту освіти" (далі - ІМЗО).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" w:name="n22"/>
      <w:bookmarkEnd w:id="9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6. Контроль за організацією, проведенням та дотриманням вимог цього Положення здійснює Організаційний комітет.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0" w:name="n23"/>
      <w:bookmarkEnd w:id="10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7. Конкурс оголошується наказом МОН, в якому, зокрема, зазначаються: склад Організаційного комітету, строки проведення Конкурсу. Перелік галузей знань, спеціальностей (спеціалізацій), з яких проводиться Конкурс, вищі навчальні заклади, в яких буде проходити ІІ тур Конкурсу (далі - базові вищі навчальні заклади), затверджуються наказом МОН строком на три роки.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1" w:name="n24"/>
      <w:bookmarkEnd w:id="11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8. Якщо базові вищі навчальні заклади проводили Конкурс з порушенням вимог цього Положення, Організаційний комітет може змінити такі базові вищі навчальні заклади до закінчення трирічного строку проведення.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2" w:name="n25"/>
      <w:bookmarkEnd w:id="12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Під час проведення Конкурсу обробка персональних даних здійснюється відповідно до вимог </w:t>
      </w:r>
      <w:hyperlink r:id="rId5" w:tgtFrame="_blank" w:history="1">
        <w:r w:rsidRPr="008E66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Закону України</w:t>
        </w:r>
      </w:hyperlink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"Про захист персональних даних".</w:t>
      </w:r>
    </w:p>
    <w:p w:rsidR="004E6935" w:rsidRDefault="004E6935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3" w:name="n26"/>
      <w:bookmarkEnd w:id="13"/>
    </w:p>
    <w:p w:rsidR="00D95F5C" w:rsidRPr="008E6649" w:rsidRDefault="00D95F5C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ІІ. Завдання Конкурсу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4" w:name="n27"/>
      <w:bookmarkEnd w:id="14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Основними завданнями Конкурсу є: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5" w:name="n28"/>
      <w:bookmarkEnd w:id="15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виявлення та розвиток обдарованих студентів, сприяння реалізації їх здібностей;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6" w:name="n29"/>
      <w:bookmarkEnd w:id="16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стимулювання творчого самовдосконалення студентської молоді;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7" w:name="n30"/>
      <w:bookmarkEnd w:id="17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популяризація досягнень науки, техніки та інноваційних технологій;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8" w:name="n31"/>
      <w:bookmarkEnd w:id="18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залучення провідних вчених, наукових, науково-педагогічних працівників до активної роботи з обдарованою студентською молоддю;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19" w:name="n32"/>
      <w:bookmarkEnd w:id="19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формування команд для участі в міжнародних олімпіадах, конкурсах, турнірах.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0" w:name="n33"/>
      <w:bookmarkEnd w:id="20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ІІІ. Вимоги до наукових робіт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1" w:name="n34"/>
      <w:bookmarkEnd w:id="21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1. На Конкурс подаються самостійно підготовлені наукові роботи студентів з галузей знань, спеціальностей (спеціалізацій). Наукові роботи повинні бути пошуковими за своїм характером, не мати нагород НАН України та органів державної влади, інших конкурсів.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2" w:name="n35"/>
      <w:bookmarkEnd w:id="22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2. Одна наукова робота може мати не більше двох авторів за наявності у них спільних з теми наукової роботи матеріалів та одного наукового керівника. Якщо авторами наукової роботи є студенти з різних вищих навчальних закладів, можуть бути два наукові керівники з різних вищих навчальних закладів.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3" w:name="n36"/>
      <w:bookmarkEnd w:id="23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3. Наукові роботи студентів, які є тематичним продовженням робіт, поданих на Конкурс у попередні роки, розглядаються за умови наявності в них не більше 25% наукового матеріалу з попередньої роботи.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4" w:name="n37"/>
      <w:bookmarkEnd w:id="24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4. Наукові роботи оформлюються відповідно до таких вимог: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5" w:name="n38"/>
      <w:bookmarkEnd w:id="25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текст друкується шрифтом </w:t>
      </w:r>
      <w:proofErr w:type="spellStart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Times</w:t>
      </w:r>
      <w:proofErr w:type="spellEnd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New</w:t>
      </w:r>
      <w:proofErr w:type="spellEnd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Roman</w:t>
      </w:r>
      <w:proofErr w:type="spellEnd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, міжрядковий інтервал 1.5, кегль 14, аркуш формату А4, поля: ліве - 30 мм, праве - 10 мм, верхнє і нижнє - по 20 мм;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6" w:name="n39"/>
      <w:bookmarkEnd w:id="26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наукова робота повинна мати титульну сторінку (на ній зазначаються тільки шифр та назва роботи), зміст, вступ, розділи, висновки, список використаної літератури та анотацію, у якій зазначено актуальність, мету, завдання, використану методику дослідження та загальну характеристику роботи;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7" w:name="n40"/>
      <w:bookmarkEnd w:id="27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наукова робота обов’язково має містити посилання на джерела інформації у разі використання ідей, тверджень, відомостей, отриманих іншими особами;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8" w:name="n41"/>
      <w:bookmarkEnd w:id="28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загальний обсяг роботи не повинен перевищувати 30 сторінок без урахування додатків та переліку літературних джерел;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29" w:name="n42"/>
      <w:bookmarkEnd w:id="29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креслення та ілюстрації, що додаються до роботи, повинні бути скомпоновані на аркуші формату А3 або А4.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0" w:name="n43"/>
      <w:bookmarkEnd w:id="30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Наукові роботи подаються в друкованому вигляді та на електронних носіях.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1" w:name="n44"/>
      <w:bookmarkEnd w:id="31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5. Наукові роботи виконуються українською мовою.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2" w:name="n45"/>
      <w:bookmarkEnd w:id="32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За погодженням з Організаційним комітетом може проводитись Конкурс з галузей знань, спеціальностей (спеціалізацій) іноземними мовами. На такий Конкурс наукові роботи подаються відповідними мовами.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3" w:name="n46"/>
      <w:bookmarkEnd w:id="33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6. У наукових роботах, що подаються на Конкурс, у тому числі в копіях патентів, наукових статей тощо, прізвища, ініціали автора (авторів) та наукового керівника, найменування вищого навчального закладу замінюються шифром (шифр - не більше двох слів).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4" w:name="n47"/>
      <w:bookmarkEnd w:id="34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Окремо під тим самим шифром подаються відомості про автора (авторів) та наукового керівника наукової роботи (</w:t>
      </w:r>
      <w:hyperlink r:id="rId6" w:anchor="n99" w:history="1">
        <w:r w:rsidRPr="008E66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додаток 1</w:t>
        </w:r>
      </w:hyperlink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).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5" w:name="n48"/>
      <w:bookmarkEnd w:id="35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7. Наукові роботи, подані на Конкурс з порушенням вимог цього розділу, до участі у Конкурсі не допускаються та за рішенням конкурсних комісій (галузевих конкурсних комісій) знімаються з розгляду.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6" w:name="n49"/>
      <w:bookmarkEnd w:id="36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ІV. Проведення Конкурсу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7" w:name="n50"/>
      <w:bookmarkEnd w:id="37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1. Конкурс проводиться у два тури: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8" w:name="n51"/>
      <w:bookmarkEnd w:id="38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І тур - у вищих навчальних закладах;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39" w:name="n52"/>
      <w:bookmarkEnd w:id="39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ІІ тур - у базових вищих навчальних закладах.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0" w:name="n53"/>
      <w:bookmarkEnd w:id="40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ІІ тур Конкурсу проводиться у два етапи: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1" w:name="n54"/>
      <w:bookmarkEnd w:id="41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перший етап - рецензування робіт;</w:t>
      </w:r>
    </w:p>
    <w:p w:rsidR="00D95F5C" w:rsidRPr="008E6649" w:rsidRDefault="00D95F5C" w:rsidP="004E6935">
      <w:pPr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2" w:name="n55"/>
      <w:bookmarkEnd w:id="42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другий етап - проведення підсумкової науково-практичної конференції.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3" w:name="n56"/>
      <w:bookmarkEnd w:id="43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2. Для організації та проведення І туру Конкурсу у вищому навчальному закладі за наказом керівника створюється конкурсна комісія, на розгляд якої студенти подають свої наукові роботи.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4" w:name="n57"/>
      <w:bookmarkEnd w:id="44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3. Конкурсна комісія з проведення І туру Конкурсу відбирає не більше трьох наукових робіт з кожної галузі знань, спеціальності (спеціалізації) та надсилає їх до базових вищих навчальних закладів у строк, визначений наказом МОН.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5" w:name="n58"/>
      <w:bookmarkEnd w:id="45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можна подавати одну й ту саму наукову роботу до різних базових вищих навчальних закладів.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6" w:name="n59"/>
      <w:bookmarkEnd w:id="46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4. Для організації та проведення ІІ туру Конкурсу у базовому вищому навчальному закладі створюється галузева конкурсна комісія, персональний склад якої затверджується наказом керівника базового вищого навчального закладу.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7" w:name="n60"/>
      <w:bookmarkEnd w:id="47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До складу галузевої конкурсної комісії входять наукові, науково-педагогічні працівники базового вищого навчального закладу, представники інших вищих навчальних закладів, наукових установ, підприємств, громадських організацій тощо (за згодою). Кількість представників базового вищого навчального закладу у складі галузевої конкурсної комісії не може перевищувати 50% від затвердженого її складу.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8" w:name="n61"/>
      <w:bookmarkEnd w:id="48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Головою галузевої конкурсної комісії призначається керівник, заступник керівника базового вищого навчального закладу.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49" w:name="n62"/>
      <w:bookmarkEnd w:id="49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5. Протягом першого етапу ІІ туру Конкурсу галузева конкурсна комісія розглядає подані наукові роботи та здійснює їх рецензування (</w:t>
      </w:r>
      <w:hyperlink r:id="rId7" w:anchor="n101" w:history="1">
        <w:r w:rsidRPr="008E66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додаток 2</w:t>
        </w:r>
      </w:hyperlink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). Одна робота рецензується двома рецензентами.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0" w:name="n63"/>
      <w:bookmarkEnd w:id="50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Наукові роботи не подаються на рецензування до вищих навчальних закладів, у яких навчаються їх автори.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1" w:name="n64"/>
      <w:bookmarkEnd w:id="51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6. За результатами рецензування формується рейтинговий список наукових робіт (далі - рейтинговий список), який оприлюднюється.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2" w:name="n65"/>
      <w:bookmarkEnd w:id="52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7. Якщо під час рецензування наукової роботи буде виявлено ознаки академічного плагіату, галузева конкурсна комісія окремо розглядає це питання і своїм рішенням: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3" w:name="n66"/>
      <w:bookmarkEnd w:id="53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підтверджує факт академічного плагіату та знімає відповідну наукову роботу з Конкурсу з повідомленням учасника та конкурсної комісії відповідного вищого навчального закладу про цей факт;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4" w:name="n67"/>
      <w:bookmarkEnd w:id="54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не підтверджує факт академічного плагіату і допускає відповідну наукову роботу до подальшої участі у Конкурсі.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5" w:name="n68"/>
      <w:bookmarkEnd w:id="55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8. Галузева конкурсна комісія на своєму засіданні (за наявності не менше 2/3 її складу) на підставі рецензій приймає рішення щодо визначення наукових робіт, автори яких запрошуються на підсумкову науково-практичну конференцію. Рішення галузевої конкурсної комісії приймається більшістю від її затвердженого складу. За рівної кількості голосів членів галузевої конкурсної комісії голос голови є вирішальним.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6" w:name="n69"/>
      <w:bookmarkEnd w:id="56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9. Авторам відповідних наукових робіт галузева конкурсна комісія надсилає запрошення (у тому числі на електронну пошту автора) для участі у підсумковій науково-практичній конференції (не пізніше ніж за два тижні до дати її проведення) для наукової доповіді та захисту роботи.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7" w:name="n70"/>
      <w:bookmarkEnd w:id="57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Якщо претендент на нагородження не має можливості приїхати для участі у підсумковій науково-практичній конференції, допускається його участь з використанням телекомунікаційних засобів у режимі </w:t>
      </w:r>
      <w:proofErr w:type="spellStart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відеоконференції</w:t>
      </w:r>
      <w:proofErr w:type="spellEnd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8" w:name="n71"/>
      <w:bookmarkEnd w:id="58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За рішенням галузевої конкурсної комісії підсумкова науково-практична конференція також може бути проведена у режимі </w:t>
      </w:r>
      <w:proofErr w:type="spellStart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відеоконференції</w:t>
      </w:r>
      <w:proofErr w:type="spellEnd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59" w:name="n72"/>
      <w:bookmarkEnd w:id="59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10. Інформація про дату проведення підсумкової науково-практичної конференції, списки запрошених для участі у конференції та їх наукові роботи, рецензії на всі наукові роботи, подані на Конкурс (без даних про рецензента), рейтинговий список не пізніше ніж за два тижні до проведення підсумкової науково-практичної конференції висвітлюються на веб-сайті базового вищого навчального закладу.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0" w:name="n73"/>
      <w:bookmarkEnd w:id="60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11. Галузеві конкурсні комісії ведуть реєстр студентських наукових робіт з метою виключення можливості повторного подання їх на Конкурс.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1" w:name="n74"/>
      <w:bookmarkEnd w:id="61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12. Документація з проведення ІІ туру Конкурсу зберігається у базових вищих навчальних закладах протягом трьох років.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2" w:name="n75"/>
      <w:bookmarkEnd w:id="62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V. Подання та розгляд апеляцій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3" w:name="n76"/>
      <w:bookmarkEnd w:id="63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1. Для забезпечення об’єктивного проведення ІІ туру Конкурсу у базовому вищому навчальному закладі створюється апеляційна комісія, чисельність і склад якої затверджуються наказом керівника базового вищого навчального закладу.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4" w:name="n77"/>
      <w:bookmarkEnd w:id="64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2. Членами апеляційної комісії призначаються представники МОН, базового вищого навчального закладу, інших вищих навчальних закладів та наукових установ (за згодою). Кількість представників базового вищого навчального закладу в апеляційній комісії не повинна перевищувати 1/3 її складу.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5" w:name="n78"/>
      <w:bookmarkEnd w:id="65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3. Учасники Конкурсу можуть протягом п’яти календарних днів після оприлюднення рейтингового списку подати заяву в письмовій формі апеляційній комісії щодо необ’єктивної оцінки їх наукової роботи.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6" w:name="n79"/>
      <w:bookmarkEnd w:id="66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4. Апеляційна комісія протягом трьох робочих днів з дня надходження заяви ухвалює рішення, що фіксується у протоколі засідання апеляційної комісії Конкурсу (</w:t>
      </w:r>
      <w:hyperlink r:id="rId8" w:anchor="n103" w:history="1">
        <w:r w:rsidRPr="008E66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додаток 3</w:t>
        </w:r>
      </w:hyperlink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), та надає його заявнику.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7" w:name="n80"/>
      <w:bookmarkEnd w:id="67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5. Забороняється втручання наукових керівників, батьків учасників та інших осіб у процедуру проведення Конкурсу та розгляду апеляцій.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8" w:name="n81"/>
      <w:bookmarkEnd w:id="68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VІ. Визначення та нагородження переможців Конкурсу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69" w:name="n82"/>
      <w:bookmarkEnd w:id="69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1. Після проведення підсумкової науково-практичної конференції галузева конкурсна комісія підбиває підсумки ІІ туру Конкурсу та приймає рішення про визначення переможців Конкурсу, загальна кількість яких не може перевищувати 25 % від загальної кількості авторів наукових робіт, та нагородження їх дипломами: І ступеня - до 20%, ІІ ступеня - до 30%, ІІІ ступеня -до 50%.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0" w:name="n83"/>
      <w:bookmarkEnd w:id="70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Автор наукової роботи, який не брав участі у підсумковій науково-практичній конференції, не може бути переможцем.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1" w:name="n84"/>
      <w:bookmarkEnd w:id="71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2. Наукові роботи переможців Конкурсу оприлюднюються на веб-сайті базового вищого навчального закладу.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2" w:name="n85"/>
      <w:bookmarkEnd w:id="72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3. Галузеві конкурсні комісії надсилають до ІМЗО звіти про проведення ІІ туру Конкурсу, у тому числі наказ про затвердження конкурсної і апеляційної комісій базового вищого навчального закладу, протокол засідання галузевої конкурсної комісії (</w:t>
      </w:r>
      <w:hyperlink r:id="rId9" w:anchor="n105" w:history="1">
        <w:r w:rsidRPr="008E66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додаток 4</w:t>
        </w:r>
      </w:hyperlink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), статистичну довідку (</w:t>
      </w:r>
      <w:hyperlink r:id="rId10" w:anchor="n107" w:history="1">
        <w:r w:rsidRPr="008E6649">
          <w:rPr>
            <w:rFonts w:ascii="Times New Roman" w:eastAsia="Times New Roman" w:hAnsi="Times New Roman" w:cs="Times New Roman"/>
            <w:sz w:val="24"/>
            <w:szCs w:val="24"/>
            <w:u w:val="single"/>
            <w:lang w:eastAsia="uk-UA"/>
          </w:rPr>
          <w:t>додаток 5</w:t>
        </w:r>
      </w:hyperlink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) та копії протоколів рішень апеляційної комісії (за наявності).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3" w:name="n86"/>
      <w:bookmarkEnd w:id="73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надходження до ІМЗО рішень зі списками переможців Конкурсу, загальна кількість яких перевищує 25% за відповідною галуззю знань, спеціальністю (спеціалізацією), ІМЗО повертає ці рішення відповідним галузевим конкурсним комісіям для приведення списку переможців у відповідність до пункту 1 цього розділу. При невиконанні вимог цього пункту Конкурс за відповідною галуззю знань, спеціальністю (спеціалізацією) вважається таким, що не відбувся.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4" w:name="n87"/>
      <w:bookmarkEnd w:id="74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4. Дипломи переможців Конкурсу видають базові вищі навчальні заклади та підписують голови відповідних галузевих конкурсних комісій.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5" w:name="n88"/>
      <w:bookmarkEnd w:id="75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У разі втрати диплом не поновлюється.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6" w:name="n89"/>
      <w:bookmarkEnd w:id="76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5. Наукові керівники студентських робіт, нагороджених дипломами І-ІІІ ступенів, відзначаються подяками галузевої конкурсної комісії.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7" w:name="n90"/>
      <w:bookmarkEnd w:id="77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6. Галузеві конкурсні комісії для заохочення студентів можуть видавати їм сертифікати учасників Конкурсу та відзнаки в окремих номінаціях.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8" w:name="n91"/>
      <w:bookmarkEnd w:id="78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7. Вищі навчальні заклади можуть здійснювати заходи щодо відзначення студентів - переможців Конкурсу та їх наукових керівників.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79" w:name="n92"/>
      <w:bookmarkEnd w:id="79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8. Перелік переможців, відзначених дипломами І-ІІІ ступенів, затверджується наказом МОН.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0" w:name="n93"/>
      <w:bookmarkEnd w:id="80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VII. Фінансування Конкурсу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1" w:name="n94"/>
      <w:bookmarkEnd w:id="81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1. Витрати на проведення І туру Конкурсу та на пересилання робіт до базових вищих навчальних закладів здійснюються за рахунок вищих навчальних закладів.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2" w:name="n95"/>
      <w:bookmarkEnd w:id="82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2. Матеріально-технічне забезпечення ІІ туру Конкурсу, витрати на рецензування робіт та проведення підсумкової науково-практичної конференції здійснюються за рахунок базового вищого навчального закладу та інших джерел, не заборонених законодавством України.</w:t>
      </w:r>
    </w:p>
    <w:p w:rsidR="00D95F5C" w:rsidRPr="008E6649" w:rsidRDefault="00D95F5C" w:rsidP="00D95F5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3" w:name="n96"/>
      <w:bookmarkEnd w:id="83"/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>3. Витрати на відрядження учасників ІІ туру Конкурсу здійснюються за рахунок вищих навчальних закладів, установ, в яких вони навчаються або працюють.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49"/>
        <w:gridCol w:w="289"/>
        <w:gridCol w:w="5301"/>
      </w:tblGrid>
      <w:tr w:rsidR="00D95F5C" w:rsidRPr="008E6649" w:rsidTr="00D95F5C">
        <w:trPr>
          <w:tblCellSpacing w:w="0" w:type="dxa"/>
        </w:trPr>
        <w:tc>
          <w:tcPr>
            <w:tcW w:w="210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4" w:name="n97"/>
            <w:bookmarkEnd w:id="84"/>
            <w:proofErr w:type="spellStart"/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Т.в.о</w:t>
            </w:r>
            <w:proofErr w:type="spellEnd"/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. директора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департаменту вищої освіти</w:t>
            </w:r>
          </w:p>
        </w:tc>
        <w:tc>
          <w:tcPr>
            <w:tcW w:w="3500" w:type="pct"/>
            <w:gridSpan w:val="2"/>
            <w:hideMark/>
          </w:tcPr>
          <w:p w:rsidR="00D95F5C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</w:r>
            <w:r w:rsidR="008E6649"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    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>Г.М. Бойко</w:t>
            </w:r>
          </w:p>
          <w:p w:rsidR="004E6935" w:rsidRPr="008E6649" w:rsidRDefault="004E6935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</w:p>
        </w:tc>
      </w:tr>
      <w:tr w:rsidR="00D95F5C" w:rsidRPr="008E6649" w:rsidTr="00D95F5C">
        <w:trPr>
          <w:tblCellSpacing w:w="0" w:type="dxa"/>
        </w:trPr>
        <w:tc>
          <w:tcPr>
            <w:tcW w:w="2250" w:type="pct"/>
            <w:gridSpan w:val="2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5" w:name="n109"/>
            <w:bookmarkStart w:id="86" w:name="n98"/>
            <w:bookmarkEnd w:id="85"/>
            <w:bookmarkEnd w:id="86"/>
          </w:p>
        </w:tc>
        <w:tc>
          <w:tcPr>
            <w:tcW w:w="200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1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Положення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про Всеукраїнський конкурс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студентських наукових робіт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 галузей знань і спеціальностей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6 розділу IІІ)</w:t>
            </w:r>
          </w:p>
        </w:tc>
      </w:tr>
    </w:tbl>
    <w:bookmarkStart w:id="87" w:name="n99"/>
    <w:bookmarkEnd w:id="87"/>
    <w:p w:rsidR="00D95F5C" w:rsidRPr="008E6649" w:rsidRDefault="00524A7F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"http://zakon3.rada.gov.ua/laws/file/text/54/f467311n119.doc" </w:instrTex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ВІДОМОСТІ</w: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про автора (авторів) та наукового керівника наукової роботи</w:t>
      </w:r>
    </w:p>
    <w:p w:rsidR="00D95F5C" w:rsidRPr="008E6649" w:rsidRDefault="006C5E1C" w:rsidP="00D9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88" w:name="n110"/>
      <w:bookmarkEnd w:id="88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5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D95F5C" w:rsidRPr="008E6649" w:rsidTr="00D95F5C">
        <w:trPr>
          <w:tblCellSpacing w:w="0" w:type="dxa"/>
        </w:trPr>
        <w:tc>
          <w:tcPr>
            <w:tcW w:w="225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89" w:name="n100"/>
            <w:bookmarkEnd w:id="89"/>
          </w:p>
        </w:tc>
        <w:tc>
          <w:tcPr>
            <w:tcW w:w="200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2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Положення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про Всеукраїнський конкурс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студентських наукових робіт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 галузей знань і спеціальностей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5 розділу ІV)</w:t>
            </w:r>
          </w:p>
        </w:tc>
      </w:tr>
    </w:tbl>
    <w:bookmarkStart w:id="90" w:name="n101"/>
    <w:bookmarkEnd w:id="90"/>
    <w:p w:rsidR="00D95F5C" w:rsidRPr="008E6649" w:rsidRDefault="00524A7F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"http://zakon3.rada.gov.ua/laws/file/text/54/f467311n120.doc" </w:instrTex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РЕЦЕНЗІЯ</w: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на наукову роботу, представлену на Конкурс</w:t>
      </w:r>
    </w:p>
    <w:p w:rsidR="00D95F5C" w:rsidRPr="008E6649" w:rsidRDefault="006C5E1C" w:rsidP="00D9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1" w:name="n111"/>
      <w:bookmarkEnd w:id="91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6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D95F5C" w:rsidRPr="008E6649" w:rsidTr="00D95F5C">
        <w:trPr>
          <w:tblCellSpacing w:w="0" w:type="dxa"/>
        </w:trPr>
        <w:tc>
          <w:tcPr>
            <w:tcW w:w="225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2" w:name="n102"/>
            <w:bookmarkEnd w:id="92"/>
          </w:p>
        </w:tc>
        <w:tc>
          <w:tcPr>
            <w:tcW w:w="200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3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Положення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про Всеукраїнський конкурс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студентських наукових робіт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 галузей знань і спеціальностей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4 розділу V)</w:t>
            </w:r>
          </w:p>
        </w:tc>
      </w:tr>
    </w:tbl>
    <w:bookmarkStart w:id="93" w:name="n103"/>
    <w:bookmarkEnd w:id="93"/>
    <w:p w:rsidR="00D95F5C" w:rsidRDefault="00524A7F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"http://zakon3.rada.gov.ua/laws/file/text/54/f467311n122.doc" </w:instrTex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ПРОТОКОЛ ЗАСІДАННЯ</w: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апеляційної комісії Конкурсу</w:t>
      </w:r>
    </w:p>
    <w:p w:rsidR="004E6935" w:rsidRDefault="004E6935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6935" w:rsidRDefault="004E6935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4E6935" w:rsidRPr="008E6649" w:rsidRDefault="004E6935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</w:p>
    <w:p w:rsidR="00D95F5C" w:rsidRPr="008E6649" w:rsidRDefault="006C5E1C" w:rsidP="00D9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4" w:name="n112"/>
      <w:bookmarkEnd w:id="94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pict>
          <v:rect id="_x0000_i1027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D95F5C" w:rsidRPr="008E6649" w:rsidTr="00D95F5C">
        <w:trPr>
          <w:tblCellSpacing w:w="0" w:type="dxa"/>
        </w:trPr>
        <w:tc>
          <w:tcPr>
            <w:tcW w:w="225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5" w:name="n104"/>
            <w:bookmarkEnd w:id="95"/>
          </w:p>
        </w:tc>
        <w:tc>
          <w:tcPr>
            <w:tcW w:w="200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4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Положення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про Всеукраїнський конкурс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студентських наукових робіт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 галузей знань і спеціальностей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 розділу VІ)</w:t>
            </w:r>
          </w:p>
        </w:tc>
      </w:tr>
    </w:tbl>
    <w:bookmarkStart w:id="96" w:name="n105"/>
    <w:bookmarkEnd w:id="96"/>
    <w:p w:rsidR="00D95F5C" w:rsidRPr="008E6649" w:rsidRDefault="00524A7F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"http://zakon3.rada.gov.ua/laws/file/text/54/f467311n123.doc" </w:instrTex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ПРОТОКОЛ ЗАСІДАННЯ</w: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br/>
        <w:t>галузевої конкурсної комісії Конкурсу</w:t>
      </w:r>
    </w:p>
    <w:p w:rsidR="00D95F5C" w:rsidRPr="008E6649" w:rsidRDefault="006C5E1C" w:rsidP="00D95F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bookmarkStart w:id="97" w:name="n113"/>
      <w:bookmarkEnd w:id="97"/>
      <w:r>
        <w:rPr>
          <w:rFonts w:ascii="Times New Roman" w:eastAsia="Times New Roman" w:hAnsi="Times New Roman" w:cs="Times New Roman"/>
          <w:sz w:val="24"/>
          <w:szCs w:val="24"/>
          <w:lang w:eastAsia="uk-UA"/>
        </w:rPr>
        <w:pict>
          <v:rect id="_x0000_i1028" style="width:0;height:1.5pt" o:hralign="center" o:hrstd="t" o:hr="t" fillcolor="#a0a0a0" stroked="f"/>
        </w:pic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3"/>
        <w:gridCol w:w="4536"/>
      </w:tblGrid>
      <w:tr w:rsidR="00D95F5C" w:rsidRPr="008E6649" w:rsidTr="00D95F5C">
        <w:trPr>
          <w:tblCellSpacing w:w="0" w:type="dxa"/>
        </w:trPr>
        <w:tc>
          <w:tcPr>
            <w:tcW w:w="225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bookmarkStart w:id="98" w:name="n106"/>
            <w:bookmarkEnd w:id="98"/>
          </w:p>
        </w:tc>
        <w:tc>
          <w:tcPr>
            <w:tcW w:w="2000" w:type="pct"/>
            <w:hideMark/>
          </w:tcPr>
          <w:p w:rsidR="00D95F5C" w:rsidRPr="008E6649" w:rsidRDefault="00D95F5C" w:rsidP="00D95F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</w:pP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t xml:space="preserve">Додаток 5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до Положення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про Всеукраїнський конкурс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студентських наукових робіт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 xml:space="preserve">з галузей знань і спеціальностей </w:t>
            </w:r>
            <w:r w:rsidRPr="008E6649">
              <w:rPr>
                <w:rFonts w:ascii="Times New Roman" w:eastAsia="Times New Roman" w:hAnsi="Times New Roman" w:cs="Times New Roman"/>
                <w:sz w:val="24"/>
                <w:szCs w:val="24"/>
                <w:lang w:eastAsia="uk-UA"/>
              </w:rPr>
              <w:br/>
              <w:t>(пункт 3 розділу VІ)</w:t>
            </w:r>
          </w:p>
        </w:tc>
      </w:tr>
    </w:tbl>
    <w:bookmarkStart w:id="99" w:name="n107"/>
    <w:bookmarkEnd w:id="99"/>
    <w:p w:rsidR="00D95F5C" w:rsidRPr="008E6649" w:rsidRDefault="00524A7F" w:rsidP="00D95F5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begin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instrText xml:space="preserve"> HYPERLINK "http://zakon3.rada.gov.ua/laws/file/text/54/f467311n118.doc" </w:instrTex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separate"/>
      </w:r>
      <w:r w:rsidR="00D95F5C" w:rsidRPr="008E6649">
        <w:rPr>
          <w:rFonts w:ascii="Times New Roman" w:eastAsia="Times New Roman" w:hAnsi="Times New Roman" w:cs="Times New Roman"/>
          <w:sz w:val="24"/>
          <w:szCs w:val="24"/>
          <w:u w:val="single"/>
          <w:lang w:eastAsia="uk-UA"/>
        </w:rPr>
        <w:t>СТАТИСТИЧНА ДОВІДКА</w:t>
      </w:r>
      <w:r w:rsidRPr="008E6649">
        <w:rPr>
          <w:rFonts w:ascii="Times New Roman" w:eastAsia="Times New Roman" w:hAnsi="Times New Roman" w:cs="Times New Roman"/>
          <w:sz w:val="24"/>
          <w:szCs w:val="24"/>
          <w:lang w:eastAsia="uk-UA"/>
        </w:rPr>
        <w:fldChar w:fldCharType="end"/>
      </w:r>
    </w:p>
    <w:p w:rsidR="005940E8" w:rsidRPr="008E6649" w:rsidRDefault="005940E8"/>
    <w:sectPr w:rsidR="005940E8" w:rsidRPr="008E6649" w:rsidSect="005940E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F5C"/>
    <w:rsid w:val="000B73D1"/>
    <w:rsid w:val="0011780D"/>
    <w:rsid w:val="001D29DA"/>
    <w:rsid w:val="0020568F"/>
    <w:rsid w:val="002215F3"/>
    <w:rsid w:val="00273CCE"/>
    <w:rsid w:val="00274563"/>
    <w:rsid w:val="00304EE1"/>
    <w:rsid w:val="00306AF4"/>
    <w:rsid w:val="003230E7"/>
    <w:rsid w:val="00371821"/>
    <w:rsid w:val="003B3A40"/>
    <w:rsid w:val="003C4605"/>
    <w:rsid w:val="003E4897"/>
    <w:rsid w:val="004438A7"/>
    <w:rsid w:val="004B41B8"/>
    <w:rsid w:val="004D14A0"/>
    <w:rsid w:val="004E6935"/>
    <w:rsid w:val="00520C04"/>
    <w:rsid w:val="00524A7F"/>
    <w:rsid w:val="00562156"/>
    <w:rsid w:val="005669D1"/>
    <w:rsid w:val="005723DD"/>
    <w:rsid w:val="005940E8"/>
    <w:rsid w:val="006015AD"/>
    <w:rsid w:val="0066051F"/>
    <w:rsid w:val="006C5E1C"/>
    <w:rsid w:val="00764707"/>
    <w:rsid w:val="007B6A80"/>
    <w:rsid w:val="008E6649"/>
    <w:rsid w:val="00957496"/>
    <w:rsid w:val="00A560B3"/>
    <w:rsid w:val="00A650E7"/>
    <w:rsid w:val="00AB6A68"/>
    <w:rsid w:val="00B16A55"/>
    <w:rsid w:val="00B335ED"/>
    <w:rsid w:val="00B60685"/>
    <w:rsid w:val="00B81EF0"/>
    <w:rsid w:val="00B97F1B"/>
    <w:rsid w:val="00B97FD5"/>
    <w:rsid w:val="00C312A3"/>
    <w:rsid w:val="00C430D9"/>
    <w:rsid w:val="00C5636F"/>
    <w:rsid w:val="00CF3C37"/>
    <w:rsid w:val="00D4327F"/>
    <w:rsid w:val="00D95F5C"/>
    <w:rsid w:val="00D977D3"/>
    <w:rsid w:val="00EC5AFA"/>
    <w:rsid w:val="00F53304"/>
    <w:rsid w:val="00FB0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95F5C"/>
  </w:style>
  <w:style w:type="paragraph" w:customStyle="1" w:styleId="rvps4">
    <w:name w:val="rvps4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95F5C"/>
  </w:style>
  <w:style w:type="character" w:customStyle="1" w:styleId="rvts23">
    <w:name w:val="rvts23"/>
    <w:basedOn w:val="a0"/>
    <w:rsid w:val="00D95F5C"/>
  </w:style>
  <w:style w:type="paragraph" w:customStyle="1" w:styleId="rvps7">
    <w:name w:val="rvps7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95F5C"/>
  </w:style>
  <w:style w:type="paragraph" w:customStyle="1" w:styleId="rvps14">
    <w:name w:val="rvps14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95F5C"/>
    <w:rPr>
      <w:color w:val="0000FF"/>
      <w:u w:val="single"/>
    </w:rPr>
  </w:style>
  <w:style w:type="character" w:customStyle="1" w:styleId="rvts52">
    <w:name w:val="rvts52"/>
    <w:basedOn w:val="a0"/>
    <w:rsid w:val="00D95F5C"/>
  </w:style>
  <w:style w:type="character" w:customStyle="1" w:styleId="rvts44">
    <w:name w:val="rvts44"/>
    <w:basedOn w:val="a0"/>
    <w:rsid w:val="00D95F5C"/>
  </w:style>
  <w:style w:type="paragraph" w:customStyle="1" w:styleId="rvps15">
    <w:name w:val="rvps15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9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F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D95F5C"/>
  </w:style>
  <w:style w:type="paragraph" w:customStyle="1" w:styleId="rvps4">
    <w:name w:val="rvps4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">
    <w:name w:val="rvps1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D95F5C"/>
  </w:style>
  <w:style w:type="character" w:customStyle="1" w:styleId="rvts23">
    <w:name w:val="rvts23"/>
    <w:basedOn w:val="a0"/>
    <w:rsid w:val="00D95F5C"/>
  </w:style>
  <w:style w:type="paragraph" w:customStyle="1" w:styleId="rvps7">
    <w:name w:val="rvps7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D95F5C"/>
  </w:style>
  <w:style w:type="paragraph" w:customStyle="1" w:styleId="rvps14">
    <w:name w:val="rvps14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6">
    <w:name w:val="rvps6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2">
    <w:name w:val="rvps2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3">
    <w:name w:val="Hyperlink"/>
    <w:basedOn w:val="a0"/>
    <w:uiPriority w:val="99"/>
    <w:semiHidden/>
    <w:unhideWhenUsed/>
    <w:rsid w:val="00D95F5C"/>
    <w:rPr>
      <w:color w:val="0000FF"/>
      <w:u w:val="single"/>
    </w:rPr>
  </w:style>
  <w:style w:type="character" w:customStyle="1" w:styleId="rvts52">
    <w:name w:val="rvts52"/>
    <w:basedOn w:val="a0"/>
    <w:rsid w:val="00D95F5C"/>
  </w:style>
  <w:style w:type="character" w:customStyle="1" w:styleId="rvts44">
    <w:name w:val="rvts44"/>
    <w:basedOn w:val="a0"/>
    <w:rsid w:val="00D95F5C"/>
  </w:style>
  <w:style w:type="paragraph" w:customStyle="1" w:styleId="rvps15">
    <w:name w:val="rvps15"/>
    <w:basedOn w:val="a"/>
    <w:rsid w:val="00D95F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4">
    <w:name w:val="Balloon Text"/>
    <w:basedOn w:val="a"/>
    <w:link w:val="a5"/>
    <w:uiPriority w:val="99"/>
    <w:semiHidden/>
    <w:unhideWhenUsed/>
    <w:rsid w:val="00D95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95F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7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2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26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3.rada.gov.ua/laws/show/z0620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3.rada.gov.ua/laws/show/z0620-17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3.rada.gov.ua/laws/show/z0620-17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akon3.rada.gov.ua/laws/show/2297-17" TargetMode="External"/><Relationship Id="rId10" Type="http://schemas.openxmlformats.org/officeDocument/2006/relationships/hyperlink" Target="http://zakon3.rada.gov.ua/laws/show/z0620-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3.rada.gov.ua/laws/show/z0620-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2224</Words>
  <Characters>12678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science1</dc:creator>
  <cp:lastModifiedBy>Петренко Тетяна Михайлівна</cp:lastModifiedBy>
  <cp:revision>2</cp:revision>
  <dcterms:created xsi:type="dcterms:W3CDTF">2017-10-25T08:45:00Z</dcterms:created>
  <dcterms:modified xsi:type="dcterms:W3CDTF">2017-10-25T08:45:00Z</dcterms:modified>
</cp:coreProperties>
</file>